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bCs/>
          <w:color w:val="0000FF"/>
          <w:sz w:val="28"/>
          <w:lang w:eastAsia="es-CO"/>
        </w:rPr>
        <w:t>DECRETO N° 3030</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color w:val="0000FF"/>
          <w:sz w:val="28"/>
          <w:lang w:eastAsia="es-CO"/>
        </w:rPr>
        <w:t>27-12-2013</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iCs/>
          <w:color w:val="0000FF"/>
          <w:sz w:val="28"/>
          <w:lang w:eastAsia="es-CO"/>
        </w:rPr>
        <w:t>MINISTERIO DE HACIENDA Y CRÉDITO PÚBLICO</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i/>
          <w:iCs/>
          <w:color w:val="0000FF"/>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i/>
          <w:iCs/>
          <w:color w:val="0000FF"/>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i/>
          <w:iCs/>
          <w:szCs w:val="24"/>
          <w:lang w:eastAsia="es-CO"/>
        </w:rPr>
        <w:t xml:space="preserve">por el cual se reglamentan los artículos </w:t>
      </w:r>
      <w:hyperlink r:id="rId5" w:tooltip="Estatuto Tributario CETA" w:history="1">
        <w:r w:rsidRPr="00CF2C96">
          <w:rPr>
            <w:rFonts w:ascii="Segoe UI" w:eastAsia="Times New Roman" w:hAnsi="Segoe UI" w:cs="Segoe UI"/>
            <w:i/>
            <w:iCs/>
            <w:color w:val="0089E1"/>
            <w:szCs w:val="24"/>
            <w:lang w:eastAsia="es-CO"/>
          </w:rPr>
          <w:t>260-1</w:t>
        </w:r>
      </w:hyperlink>
      <w:r w:rsidRPr="00CF2C96">
        <w:rPr>
          <w:rFonts w:ascii="Segoe UI" w:eastAsia="Times New Roman" w:hAnsi="Segoe UI" w:cs="Segoe UI"/>
          <w:i/>
          <w:iCs/>
          <w:szCs w:val="24"/>
          <w:lang w:eastAsia="es-CO"/>
        </w:rPr>
        <w:t xml:space="preserve">, </w:t>
      </w:r>
      <w:hyperlink r:id="rId6" w:tooltip="Estatuto Tributario CETA" w:history="1">
        <w:r w:rsidRPr="00CF2C96">
          <w:rPr>
            <w:rFonts w:ascii="Segoe UI" w:eastAsia="Times New Roman" w:hAnsi="Segoe UI" w:cs="Segoe UI"/>
            <w:i/>
            <w:iCs/>
            <w:color w:val="0089E1"/>
            <w:szCs w:val="24"/>
            <w:lang w:eastAsia="es-CO"/>
          </w:rPr>
          <w:t>260-2</w:t>
        </w:r>
      </w:hyperlink>
      <w:r w:rsidRPr="00CF2C96">
        <w:rPr>
          <w:rFonts w:ascii="Segoe UI" w:eastAsia="Times New Roman" w:hAnsi="Segoe UI" w:cs="Segoe UI"/>
          <w:i/>
          <w:iCs/>
          <w:szCs w:val="24"/>
          <w:lang w:eastAsia="es-CO"/>
        </w:rPr>
        <w:t xml:space="preserve">, </w:t>
      </w:r>
      <w:hyperlink r:id="rId7" w:tooltip="Estatuto Tributario CETA" w:history="1">
        <w:r w:rsidRPr="00CF2C96">
          <w:rPr>
            <w:rFonts w:ascii="Segoe UI" w:eastAsia="Times New Roman" w:hAnsi="Segoe UI" w:cs="Segoe UI"/>
            <w:i/>
            <w:iCs/>
            <w:color w:val="0089E1"/>
            <w:szCs w:val="24"/>
            <w:lang w:eastAsia="es-CO"/>
          </w:rPr>
          <w:t>260-3</w:t>
        </w:r>
      </w:hyperlink>
      <w:r w:rsidRPr="00CF2C96">
        <w:rPr>
          <w:rFonts w:ascii="Segoe UI" w:eastAsia="Times New Roman" w:hAnsi="Segoe UI" w:cs="Segoe UI"/>
          <w:i/>
          <w:iCs/>
          <w:szCs w:val="24"/>
          <w:lang w:eastAsia="es-CO"/>
        </w:rPr>
        <w:t xml:space="preserve">, </w:t>
      </w:r>
      <w:hyperlink r:id="rId8" w:tooltip="Estatuto Tributario CETA" w:history="1">
        <w:r w:rsidRPr="00CF2C96">
          <w:rPr>
            <w:rFonts w:ascii="Segoe UI" w:eastAsia="Times New Roman" w:hAnsi="Segoe UI" w:cs="Segoe UI"/>
            <w:i/>
            <w:iCs/>
            <w:color w:val="0089E1"/>
            <w:szCs w:val="24"/>
            <w:lang w:eastAsia="es-CO"/>
          </w:rPr>
          <w:t>260-4</w:t>
        </w:r>
      </w:hyperlink>
      <w:r w:rsidRPr="00CF2C96">
        <w:rPr>
          <w:rFonts w:ascii="Segoe UI" w:eastAsia="Times New Roman" w:hAnsi="Segoe UI" w:cs="Segoe UI"/>
          <w:i/>
          <w:iCs/>
          <w:szCs w:val="24"/>
          <w:lang w:eastAsia="es-CO"/>
        </w:rPr>
        <w:t xml:space="preserve">, </w:t>
      </w:r>
      <w:hyperlink r:id="rId9" w:tooltip="Estatuto Tributario CETA" w:history="1">
        <w:r w:rsidRPr="00CF2C96">
          <w:rPr>
            <w:rFonts w:ascii="Segoe UI" w:eastAsia="Times New Roman" w:hAnsi="Segoe UI" w:cs="Segoe UI"/>
            <w:i/>
            <w:iCs/>
            <w:color w:val="0089E1"/>
            <w:szCs w:val="24"/>
            <w:lang w:eastAsia="es-CO"/>
          </w:rPr>
          <w:t>260-5</w:t>
        </w:r>
      </w:hyperlink>
      <w:r w:rsidRPr="00CF2C96">
        <w:rPr>
          <w:rFonts w:ascii="Segoe UI" w:eastAsia="Times New Roman" w:hAnsi="Segoe UI" w:cs="Segoe UI"/>
          <w:i/>
          <w:iCs/>
          <w:szCs w:val="24"/>
          <w:lang w:eastAsia="es-CO"/>
        </w:rPr>
        <w:t xml:space="preserve">, los parágrafos 2° y 3° del </w:t>
      </w:r>
      <w:hyperlink r:id="rId10" w:tooltip="Estatuto Tributario CETA" w:history="1">
        <w:r w:rsidRPr="00CF2C96">
          <w:rPr>
            <w:rFonts w:ascii="Segoe UI" w:eastAsia="Times New Roman" w:hAnsi="Segoe UI" w:cs="Segoe UI"/>
            <w:i/>
            <w:iCs/>
            <w:color w:val="0089E1"/>
            <w:szCs w:val="24"/>
            <w:lang w:eastAsia="es-CO"/>
          </w:rPr>
          <w:t>artículo 260-7</w:t>
        </w:r>
      </w:hyperlink>
      <w:r w:rsidRPr="00CF2C96">
        <w:rPr>
          <w:rFonts w:ascii="Segoe UI" w:eastAsia="Times New Roman" w:hAnsi="Segoe UI" w:cs="Segoe UI"/>
          <w:i/>
          <w:iCs/>
          <w:szCs w:val="24"/>
          <w:lang w:eastAsia="es-CO"/>
        </w:rPr>
        <w:t xml:space="preserve">, los artículos </w:t>
      </w:r>
      <w:hyperlink r:id="rId11" w:tooltip="Estatuto Tributario CETA" w:history="1">
        <w:r w:rsidRPr="00CF2C96">
          <w:rPr>
            <w:rFonts w:ascii="Segoe UI" w:eastAsia="Times New Roman" w:hAnsi="Segoe UI" w:cs="Segoe UI"/>
            <w:i/>
            <w:iCs/>
            <w:color w:val="0089E1"/>
            <w:szCs w:val="24"/>
            <w:lang w:eastAsia="es-CO"/>
          </w:rPr>
          <w:t>260-9</w:t>
        </w:r>
      </w:hyperlink>
      <w:r w:rsidRPr="00CF2C96">
        <w:rPr>
          <w:rFonts w:ascii="Segoe UI" w:eastAsia="Times New Roman" w:hAnsi="Segoe UI" w:cs="Segoe UI"/>
          <w:i/>
          <w:iCs/>
          <w:szCs w:val="24"/>
          <w:lang w:eastAsia="es-CO"/>
        </w:rPr>
        <w:t xml:space="preserve">, </w:t>
      </w:r>
      <w:hyperlink r:id="rId12" w:tooltip="Estatuto Tributario CETA" w:history="1">
        <w:r w:rsidRPr="00CF2C96">
          <w:rPr>
            <w:rFonts w:ascii="Segoe UI" w:eastAsia="Times New Roman" w:hAnsi="Segoe UI" w:cs="Segoe UI"/>
            <w:i/>
            <w:iCs/>
            <w:color w:val="0089E1"/>
            <w:szCs w:val="24"/>
            <w:lang w:eastAsia="es-CO"/>
          </w:rPr>
          <w:t>260-10</w:t>
        </w:r>
      </w:hyperlink>
      <w:r w:rsidRPr="00CF2C96">
        <w:rPr>
          <w:rFonts w:ascii="Segoe UI" w:eastAsia="Times New Roman" w:hAnsi="Segoe UI" w:cs="Segoe UI"/>
          <w:i/>
          <w:iCs/>
          <w:szCs w:val="24"/>
          <w:lang w:eastAsia="es-CO"/>
        </w:rPr>
        <w:t xml:space="preserve">, </w:t>
      </w:r>
      <w:hyperlink r:id="rId13" w:tooltip="Estatuto Tributario CETA" w:history="1">
        <w:r w:rsidRPr="00CF2C96">
          <w:rPr>
            <w:rFonts w:ascii="Segoe UI" w:eastAsia="Times New Roman" w:hAnsi="Segoe UI" w:cs="Segoe UI"/>
            <w:i/>
            <w:iCs/>
            <w:color w:val="0089E1"/>
            <w:szCs w:val="24"/>
            <w:lang w:eastAsia="es-CO"/>
          </w:rPr>
          <w:t>260-11</w:t>
        </w:r>
      </w:hyperlink>
      <w:r w:rsidRPr="00CF2C96">
        <w:rPr>
          <w:rFonts w:ascii="Segoe UI" w:eastAsia="Times New Roman" w:hAnsi="Segoe UI" w:cs="Segoe UI"/>
          <w:i/>
          <w:iCs/>
          <w:szCs w:val="24"/>
          <w:lang w:eastAsia="es-CO"/>
        </w:rPr>
        <w:t xml:space="preserve"> y </w:t>
      </w:r>
      <w:hyperlink r:id="rId14" w:tooltip="Estatuto Tributario CETA" w:history="1">
        <w:r w:rsidRPr="00CF2C96">
          <w:rPr>
            <w:rFonts w:ascii="Segoe UI" w:eastAsia="Times New Roman" w:hAnsi="Segoe UI" w:cs="Segoe UI"/>
            <w:i/>
            <w:iCs/>
            <w:color w:val="0089E1"/>
            <w:szCs w:val="24"/>
            <w:lang w:eastAsia="es-CO"/>
          </w:rPr>
          <w:t>319-2</w:t>
        </w:r>
      </w:hyperlink>
      <w:r w:rsidRPr="00CF2C96">
        <w:rPr>
          <w:rFonts w:ascii="Segoe UI" w:eastAsia="Times New Roman" w:hAnsi="Segoe UI" w:cs="Segoe UI"/>
          <w:i/>
          <w:iCs/>
          <w:szCs w:val="24"/>
          <w:lang w:eastAsia="es-CO"/>
        </w:rPr>
        <w:t xml:space="preserve"> del Estatuto Tributario.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El Presidente de la República de Colombia, en uso de sus facultades constitucionales y legales, en especial de las consagradas en los numerales 11 y 20 del artículo 189 de la Constitución Política, los artículos </w:t>
      </w:r>
      <w:hyperlink r:id="rId15" w:tooltip="Estatuto Tributario CETA" w:history="1">
        <w:r w:rsidRPr="00CF2C96">
          <w:rPr>
            <w:rFonts w:ascii="Segoe UI" w:eastAsia="Times New Roman" w:hAnsi="Segoe UI" w:cs="Segoe UI"/>
            <w:color w:val="0089E1"/>
            <w:szCs w:val="24"/>
            <w:lang w:eastAsia="es-CO"/>
          </w:rPr>
          <w:t>260-1</w:t>
        </w:r>
      </w:hyperlink>
      <w:r w:rsidRPr="00CF2C96">
        <w:rPr>
          <w:rFonts w:ascii="Segoe UI" w:eastAsia="Times New Roman" w:hAnsi="Segoe UI" w:cs="Segoe UI"/>
          <w:szCs w:val="24"/>
          <w:lang w:eastAsia="es-CO"/>
        </w:rPr>
        <w:t xml:space="preserve">, </w:t>
      </w:r>
      <w:hyperlink r:id="rId16" w:tooltip="Estatuto Tributario CETA" w:history="1">
        <w:r w:rsidRPr="00CF2C96">
          <w:rPr>
            <w:rFonts w:ascii="Segoe UI" w:eastAsia="Times New Roman" w:hAnsi="Segoe UI" w:cs="Segoe UI"/>
            <w:color w:val="0089E1"/>
            <w:szCs w:val="24"/>
            <w:lang w:eastAsia="es-CO"/>
          </w:rPr>
          <w:t>260-2</w:t>
        </w:r>
      </w:hyperlink>
      <w:r w:rsidRPr="00CF2C96">
        <w:rPr>
          <w:rFonts w:ascii="Segoe UI" w:eastAsia="Times New Roman" w:hAnsi="Segoe UI" w:cs="Segoe UI"/>
          <w:szCs w:val="24"/>
          <w:lang w:eastAsia="es-CO"/>
        </w:rPr>
        <w:t xml:space="preserve">, </w:t>
      </w:r>
      <w:hyperlink r:id="rId17" w:tooltip="Estatuto Tributario CETA" w:history="1">
        <w:r w:rsidRPr="00CF2C96">
          <w:rPr>
            <w:rFonts w:ascii="Segoe UI" w:eastAsia="Times New Roman" w:hAnsi="Segoe UI" w:cs="Segoe UI"/>
            <w:color w:val="0089E1"/>
            <w:szCs w:val="24"/>
            <w:lang w:eastAsia="es-CO"/>
          </w:rPr>
          <w:t>260-3</w:t>
        </w:r>
      </w:hyperlink>
      <w:r w:rsidRPr="00CF2C96">
        <w:rPr>
          <w:rFonts w:ascii="Segoe UI" w:eastAsia="Times New Roman" w:hAnsi="Segoe UI" w:cs="Segoe UI"/>
          <w:szCs w:val="24"/>
          <w:lang w:eastAsia="es-CO"/>
        </w:rPr>
        <w:t xml:space="preserve">, </w:t>
      </w:r>
      <w:hyperlink r:id="rId18" w:tooltip="Estatuto Tributario CETA" w:history="1">
        <w:r w:rsidRPr="00CF2C96">
          <w:rPr>
            <w:rFonts w:ascii="Segoe UI" w:eastAsia="Times New Roman" w:hAnsi="Segoe UI" w:cs="Segoe UI"/>
            <w:color w:val="0089E1"/>
            <w:szCs w:val="24"/>
            <w:lang w:eastAsia="es-CO"/>
          </w:rPr>
          <w:t>260-4</w:t>
        </w:r>
      </w:hyperlink>
      <w:r w:rsidRPr="00CF2C96">
        <w:rPr>
          <w:rFonts w:ascii="Segoe UI" w:eastAsia="Times New Roman" w:hAnsi="Segoe UI" w:cs="Segoe UI"/>
          <w:szCs w:val="24"/>
          <w:lang w:eastAsia="es-CO"/>
        </w:rPr>
        <w:t xml:space="preserve">, </w:t>
      </w:r>
      <w:hyperlink r:id="rId19" w:tooltip="Estatuto Tributario CETA" w:history="1">
        <w:r w:rsidRPr="00CF2C96">
          <w:rPr>
            <w:rFonts w:ascii="Segoe UI" w:eastAsia="Times New Roman" w:hAnsi="Segoe UI" w:cs="Segoe UI"/>
            <w:color w:val="0089E1"/>
            <w:szCs w:val="24"/>
            <w:lang w:eastAsia="es-CO"/>
          </w:rPr>
          <w:t>260-5</w:t>
        </w:r>
      </w:hyperlink>
      <w:r w:rsidRPr="00CF2C96">
        <w:rPr>
          <w:rFonts w:ascii="Segoe UI" w:eastAsia="Times New Roman" w:hAnsi="Segoe UI" w:cs="Segoe UI"/>
          <w:szCs w:val="24"/>
          <w:lang w:eastAsia="es-CO"/>
        </w:rPr>
        <w:t xml:space="preserve">, </w:t>
      </w:r>
      <w:hyperlink r:id="rId20" w:tooltip="Estatuto Tributario CETA" w:history="1">
        <w:r w:rsidRPr="00CF2C96">
          <w:rPr>
            <w:rFonts w:ascii="Segoe UI" w:eastAsia="Times New Roman" w:hAnsi="Segoe UI" w:cs="Segoe UI"/>
            <w:color w:val="0089E1"/>
            <w:szCs w:val="24"/>
            <w:lang w:eastAsia="es-CO"/>
          </w:rPr>
          <w:t>260-7</w:t>
        </w:r>
      </w:hyperlink>
      <w:r w:rsidRPr="00CF2C96">
        <w:rPr>
          <w:rFonts w:ascii="Segoe UI" w:eastAsia="Times New Roman" w:hAnsi="Segoe UI" w:cs="Segoe UI"/>
          <w:szCs w:val="24"/>
          <w:lang w:eastAsia="es-CO"/>
        </w:rPr>
        <w:t xml:space="preserve">, </w:t>
      </w:r>
      <w:hyperlink r:id="rId21" w:tooltip="Estatuto Tributario CETA" w:history="1">
        <w:r w:rsidRPr="00CF2C96">
          <w:rPr>
            <w:rFonts w:ascii="Segoe UI" w:eastAsia="Times New Roman" w:hAnsi="Segoe UI" w:cs="Segoe UI"/>
            <w:color w:val="0089E1"/>
            <w:szCs w:val="24"/>
            <w:lang w:eastAsia="es-CO"/>
          </w:rPr>
          <w:t>260-9</w:t>
        </w:r>
      </w:hyperlink>
      <w:r w:rsidRPr="00CF2C96">
        <w:rPr>
          <w:rFonts w:ascii="Segoe UI" w:eastAsia="Times New Roman" w:hAnsi="Segoe UI" w:cs="Segoe UI"/>
          <w:szCs w:val="24"/>
          <w:lang w:eastAsia="es-CO"/>
        </w:rPr>
        <w:t xml:space="preserve">, </w:t>
      </w:r>
      <w:hyperlink r:id="rId22" w:tooltip="Estatuto Tributario CETA" w:history="1">
        <w:r w:rsidRPr="00CF2C96">
          <w:rPr>
            <w:rFonts w:ascii="Segoe UI" w:eastAsia="Times New Roman" w:hAnsi="Segoe UI" w:cs="Segoe UI"/>
            <w:color w:val="0089E1"/>
            <w:szCs w:val="24"/>
            <w:lang w:eastAsia="es-CO"/>
          </w:rPr>
          <w:t>260-10</w:t>
        </w:r>
      </w:hyperlink>
      <w:r w:rsidRPr="00CF2C96">
        <w:rPr>
          <w:rFonts w:ascii="Segoe UI" w:eastAsia="Times New Roman" w:hAnsi="Segoe UI" w:cs="Segoe UI"/>
          <w:szCs w:val="24"/>
          <w:lang w:eastAsia="es-CO"/>
        </w:rPr>
        <w:t xml:space="preserve">, </w:t>
      </w:r>
      <w:hyperlink r:id="rId23" w:tooltip="Estatuto Tributario CETA" w:history="1">
        <w:r w:rsidRPr="00CF2C96">
          <w:rPr>
            <w:rFonts w:ascii="Segoe UI" w:eastAsia="Times New Roman" w:hAnsi="Segoe UI" w:cs="Segoe UI"/>
            <w:color w:val="0089E1"/>
            <w:szCs w:val="24"/>
            <w:lang w:eastAsia="es-CO"/>
          </w:rPr>
          <w:t>260-11</w:t>
        </w:r>
      </w:hyperlink>
      <w:r w:rsidRPr="00CF2C96">
        <w:rPr>
          <w:rFonts w:ascii="Segoe UI" w:eastAsia="Times New Roman" w:hAnsi="Segoe UI" w:cs="Segoe UI"/>
          <w:szCs w:val="24"/>
          <w:lang w:eastAsia="es-CO"/>
        </w:rPr>
        <w:t xml:space="preserve">, </w:t>
      </w:r>
      <w:hyperlink r:id="rId24" w:tooltip="Estatuto Tributario CETA" w:history="1">
        <w:r w:rsidRPr="00CF2C96">
          <w:rPr>
            <w:rFonts w:ascii="Segoe UI" w:eastAsia="Times New Roman" w:hAnsi="Segoe UI" w:cs="Segoe UI"/>
            <w:color w:val="0089E1"/>
            <w:szCs w:val="24"/>
            <w:lang w:eastAsia="es-CO"/>
          </w:rPr>
          <w:t>319-2</w:t>
        </w:r>
      </w:hyperlink>
      <w:r w:rsidRPr="00CF2C96">
        <w:rPr>
          <w:rFonts w:ascii="Segoe UI" w:eastAsia="Times New Roman" w:hAnsi="Segoe UI" w:cs="Segoe UI"/>
          <w:szCs w:val="24"/>
          <w:lang w:eastAsia="es-CO"/>
        </w:rPr>
        <w:t xml:space="preserve"> del Estatuto Tributario y el artículo 197 de la Ley 1607 de 2012.</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szCs w:val="24"/>
          <w:lang w:eastAsia="es-CO"/>
        </w:rPr>
        <w:t>CONSIDERANDO:</w:t>
      </w:r>
      <w:bookmarkStart w:id="0" w:name="_GoBack"/>
      <w:bookmarkEnd w:id="0"/>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111 de la Ley 1607 de 2012 modificó el </w:t>
      </w:r>
      <w:hyperlink r:id="rId25" w:tooltip="Estatuto Tributario CETA" w:history="1">
        <w:r w:rsidRPr="00CF2C96">
          <w:rPr>
            <w:rFonts w:ascii="Segoe UI" w:eastAsia="Times New Roman" w:hAnsi="Segoe UI" w:cs="Segoe UI"/>
            <w:color w:val="0089E1"/>
            <w:szCs w:val="24"/>
            <w:lang w:eastAsia="es-CO"/>
          </w:rPr>
          <w:t>artículo 260-1</w:t>
        </w:r>
      </w:hyperlink>
      <w:r w:rsidRPr="00CF2C96">
        <w:rPr>
          <w:rFonts w:ascii="Segoe UI" w:eastAsia="Times New Roman" w:hAnsi="Segoe UI" w:cs="Segoe UI"/>
          <w:szCs w:val="24"/>
          <w:lang w:eastAsia="es-CO"/>
        </w:rPr>
        <w:t xml:space="preserve"> del Estatuto Tributario, estableciendo los criterios para considerar que existe vinculación para efectos del impuesto sobre la renta.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112 de la Ley 1607 de 2012 modificó el </w:t>
      </w:r>
      <w:hyperlink r:id="rId26" w:tooltip="Estatuto Tributario CETA" w:history="1">
        <w:r w:rsidRPr="00CF2C96">
          <w:rPr>
            <w:rFonts w:ascii="Segoe UI" w:eastAsia="Times New Roman" w:hAnsi="Segoe UI" w:cs="Segoe UI"/>
            <w:color w:val="0089E1"/>
            <w:szCs w:val="24"/>
            <w:lang w:eastAsia="es-CO"/>
          </w:rPr>
          <w:t>artículo 260-2</w:t>
        </w:r>
      </w:hyperlink>
      <w:r w:rsidRPr="00CF2C96">
        <w:rPr>
          <w:rFonts w:ascii="Segoe UI" w:eastAsia="Times New Roman" w:hAnsi="Segoe UI" w:cs="Segoe UI"/>
          <w:szCs w:val="24"/>
          <w:lang w:eastAsia="es-CO"/>
        </w:rPr>
        <w:t xml:space="preserve"> del Estatuto Tributario, estableciendo que los contribuyentes del impuesto sobre la renta y complementarios que celebren operaciones con vinculados del exterior están obligados a determinar, para efectos de dicho impuesto, sus ingresos ordinarios y extraordinarios, sus costos y deducciones, y sus activos y pasivos, considerando para esas operaciones el Principio de Plena Competencia.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113 de la Ley 1607 de 2012 modificó el </w:t>
      </w:r>
      <w:hyperlink r:id="rId27" w:tooltip="Estatuto Tributario CETA" w:history="1">
        <w:r w:rsidRPr="00CF2C96">
          <w:rPr>
            <w:rFonts w:ascii="Segoe UI" w:eastAsia="Times New Roman" w:hAnsi="Segoe UI" w:cs="Segoe UI"/>
            <w:color w:val="0089E1"/>
            <w:szCs w:val="24"/>
            <w:lang w:eastAsia="es-CO"/>
          </w:rPr>
          <w:t>artículo 260-3</w:t>
        </w:r>
      </w:hyperlink>
      <w:r w:rsidRPr="00CF2C96">
        <w:rPr>
          <w:rFonts w:ascii="Segoe UI" w:eastAsia="Times New Roman" w:hAnsi="Segoe UI" w:cs="Segoe UI"/>
          <w:szCs w:val="24"/>
          <w:lang w:eastAsia="es-CO"/>
        </w:rPr>
        <w:t xml:space="preserve"> del Estatuto Tributario, estableciendo los métodos para determinar el precio o margen de utilidad en las operaciones celebradas con vinculados.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w:t>
      </w:r>
      <w:hyperlink r:id="rId28" w:tooltip="Estatuto Tributario CETA" w:history="1">
        <w:r w:rsidRPr="00CF2C96">
          <w:rPr>
            <w:rFonts w:ascii="Segoe UI" w:eastAsia="Times New Roman" w:hAnsi="Segoe UI" w:cs="Segoe UI"/>
            <w:color w:val="0089E1"/>
            <w:szCs w:val="24"/>
            <w:lang w:eastAsia="es-CO"/>
          </w:rPr>
          <w:t>artículo 260-3</w:t>
        </w:r>
      </w:hyperlink>
      <w:r w:rsidRPr="00CF2C96">
        <w:rPr>
          <w:rFonts w:ascii="Segoe UI" w:eastAsia="Times New Roman" w:hAnsi="Segoe UI" w:cs="Segoe UI"/>
          <w:szCs w:val="24"/>
          <w:lang w:eastAsia="es-CO"/>
        </w:rPr>
        <w:t xml:space="preserve"> del Estatuto Tributario, determina que cuando haya dos o más operaciones independientes, y cada una de las cuales sea igualmente comparable a la operación entre vinculados, se podrá obtener un rango de indicadores financieros relevantes de precios o márgenes de utilidad, rango que se denominará de Plena Competencia y que el mismo podrá ser ajustado mediante la aplicación de métodos estadísticos, en particular el rango </w:t>
      </w:r>
      <w:proofErr w:type="spellStart"/>
      <w:r w:rsidRPr="00CF2C96">
        <w:rPr>
          <w:rFonts w:ascii="Segoe UI" w:eastAsia="Times New Roman" w:hAnsi="Segoe UI" w:cs="Segoe UI"/>
          <w:szCs w:val="24"/>
          <w:lang w:eastAsia="es-CO"/>
        </w:rPr>
        <w:t>intercuartil</w:t>
      </w:r>
      <w:proofErr w:type="spellEnd"/>
      <w:r w:rsidRPr="00CF2C96">
        <w:rPr>
          <w:rFonts w:ascii="Segoe UI" w:eastAsia="Times New Roman" w:hAnsi="Segoe UI" w:cs="Segoe UI"/>
          <w:szCs w:val="24"/>
          <w:lang w:eastAsia="es-CO"/>
        </w:rPr>
        <w:t>, cuando se considere apropiado.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114 de la Ley 1607 de 2012 modificó el </w:t>
      </w:r>
      <w:hyperlink r:id="rId29" w:tooltip="Estatuto Tributario CETA" w:history="1">
        <w:r w:rsidRPr="00CF2C96">
          <w:rPr>
            <w:rFonts w:ascii="Segoe UI" w:eastAsia="Times New Roman" w:hAnsi="Segoe UI" w:cs="Segoe UI"/>
            <w:color w:val="0089E1"/>
            <w:szCs w:val="24"/>
            <w:lang w:eastAsia="es-CO"/>
          </w:rPr>
          <w:t>artículo 260-4</w:t>
        </w:r>
      </w:hyperlink>
      <w:r w:rsidRPr="00CF2C96">
        <w:rPr>
          <w:rFonts w:ascii="Segoe UI" w:eastAsia="Times New Roman" w:hAnsi="Segoe UI" w:cs="Segoe UI"/>
          <w:szCs w:val="24"/>
          <w:lang w:eastAsia="es-CO"/>
        </w:rPr>
        <w:t xml:space="preserve"> del Estatuto Tributario, estableciendo los criterios de comparabilidad a tenerse en cuenta para operaciones entre vinculados y terceros independientes.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115 de la Ley 1607 de 2012 modificó el </w:t>
      </w:r>
      <w:hyperlink r:id="rId30" w:tooltip="Estatuto Tributario CETA" w:history="1">
        <w:r w:rsidRPr="00CF2C96">
          <w:rPr>
            <w:rFonts w:ascii="Segoe UI" w:eastAsia="Times New Roman" w:hAnsi="Segoe UI" w:cs="Segoe UI"/>
            <w:color w:val="0089E1"/>
            <w:szCs w:val="24"/>
            <w:lang w:eastAsia="es-CO"/>
          </w:rPr>
          <w:t>artículo 260-5</w:t>
        </w:r>
      </w:hyperlink>
      <w:r w:rsidRPr="00CF2C96">
        <w:rPr>
          <w:rFonts w:ascii="Segoe UI" w:eastAsia="Times New Roman" w:hAnsi="Segoe UI" w:cs="Segoe UI"/>
          <w:szCs w:val="24"/>
          <w:lang w:eastAsia="es-CO"/>
        </w:rPr>
        <w:t xml:space="preserve"> del Estatuto Tributario, señalando que los contribuyentes del impuesto sobre la renta y complementarios cuyo patrimonio bruto en el último día del año o período gravable sea igual o superior al equivalente a cien mil (100.000) UVT o cuyos </w:t>
      </w:r>
      <w:r w:rsidRPr="00CF2C96">
        <w:rPr>
          <w:rFonts w:ascii="Segoe UI" w:eastAsia="Times New Roman" w:hAnsi="Segoe UI" w:cs="Segoe UI"/>
          <w:szCs w:val="24"/>
          <w:lang w:eastAsia="es-CO"/>
        </w:rPr>
        <w:lastRenderedPageBreak/>
        <w:t>ingresos brutos del respectivo año sean iguales o superiores al equivalente a sesenta y un mil (61.000) UVT, que celebren operaciones con vinculados, deberán preparar y enviar la documentación comprobatoria relativa a cada tipo de operación con la que demuestren la correcta aplicación de las normas del régimen de precios de transferencia, dentro de los plazos y condiciones que establezca el Gobierno Nacional.</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117 de la Ley 1607 de 2012 modificó el </w:t>
      </w:r>
      <w:hyperlink r:id="rId31" w:tooltip="Estatuto Tributario CETA" w:history="1">
        <w:r w:rsidRPr="00CF2C96">
          <w:rPr>
            <w:rFonts w:ascii="Segoe UI" w:eastAsia="Times New Roman" w:hAnsi="Segoe UI" w:cs="Segoe UI"/>
            <w:color w:val="0089E1"/>
            <w:szCs w:val="24"/>
            <w:lang w:eastAsia="es-CO"/>
          </w:rPr>
          <w:t>artículo 260-7</w:t>
        </w:r>
      </w:hyperlink>
      <w:r w:rsidRPr="00CF2C96">
        <w:rPr>
          <w:rFonts w:ascii="Segoe UI" w:eastAsia="Times New Roman" w:hAnsi="Segoe UI" w:cs="Segoe UI"/>
          <w:szCs w:val="24"/>
          <w:lang w:eastAsia="es-CO"/>
        </w:rPr>
        <w:t xml:space="preserve"> del Estatuto Tributario, señalando que las operaciones que realicen los contribuyentes del impuesto sobre la renta y complementarios con personas, sociedades, entidades o empresas ubicadas, residentes o domiciliadas en paraísos fiscales deberán estar sometidas al régimen de precios de transferencia y cumplir con la obligación de presentar la declaración informativa de precios de transferencia y documentación comprobatoria con respecto a dichas operaciones, aunque su patrimonio bruto en el último día del respectivo año o período gravable o sus ingresos brutos del respectivo año o período gravable sean inferiores al equivalente a cien mil (100.000) UVT o sesenta y un mil (61.000) UVT, respectivamente.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119 de la Ley 1607 de 2012 modificó el </w:t>
      </w:r>
      <w:hyperlink r:id="rId32" w:tooltip="Estatuto Tributario CETA" w:history="1">
        <w:r w:rsidRPr="00CF2C96">
          <w:rPr>
            <w:rFonts w:ascii="Segoe UI" w:eastAsia="Times New Roman" w:hAnsi="Segoe UI" w:cs="Segoe UI"/>
            <w:color w:val="0089E1"/>
            <w:szCs w:val="24"/>
            <w:lang w:eastAsia="es-CO"/>
          </w:rPr>
          <w:t>artículo 260-9</w:t>
        </w:r>
      </w:hyperlink>
      <w:r w:rsidRPr="00CF2C96">
        <w:rPr>
          <w:rFonts w:ascii="Segoe UI" w:eastAsia="Times New Roman" w:hAnsi="Segoe UI" w:cs="Segoe UI"/>
          <w:szCs w:val="24"/>
          <w:lang w:eastAsia="es-CO"/>
        </w:rPr>
        <w:t xml:space="preserve"> del Estatuto Tributario, señalando que los contribuyentes del impuesto sobre la renta y complementarios, obligados a la aplicación de las normas que regulan el régimen de precios de transferencia, cuyo patrimonio bruto en el último día del año o período gravable sea igual o superior al equivalente a cien mil (100.000) UVT o cuyos ingresos brutos del respectivo año sean iguales o superiores al equivalente a sesenta y un mil (61.000) UVT, que celebren operaciones con vinculados, deberán presentar anualmente una declaración informativa de precios de transferencia por las operaciones realizadas con dichos vinculados.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120 de la Ley 1607 de 2012 modificó el </w:t>
      </w:r>
      <w:hyperlink r:id="rId33" w:tooltip="Estatuto Tributario CETA" w:history="1">
        <w:r w:rsidRPr="00CF2C96">
          <w:rPr>
            <w:rFonts w:ascii="Segoe UI" w:eastAsia="Times New Roman" w:hAnsi="Segoe UI" w:cs="Segoe UI"/>
            <w:color w:val="0089E1"/>
            <w:szCs w:val="24"/>
            <w:lang w:eastAsia="es-CO"/>
          </w:rPr>
          <w:t>artículo 260-10</w:t>
        </w:r>
      </w:hyperlink>
      <w:r w:rsidRPr="00CF2C96">
        <w:rPr>
          <w:rFonts w:ascii="Segoe UI" w:eastAsia="Times New Roman" w:hAnsi="Segoe UI" w:cs="Segoe UI"/>
          <w:szCs w:val="24"/>
          <w:lang w:eastAsia="es-CO"/>
        </w:rPr>
        <w:t xml:space="preserve"> del Estatuto Tributario, señalando que la Administración Tributaria tendrá la facultad de celebrar Acuerdos Anticipados de Precios con contribuyentes del impuesto sobre la renta.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121 de la Ley 1607 de 2012 modificó el </w:t>
      </w:r>
      <w:hyperlink r:id="rId34" w:tooltip="Estatuto Tributario CETA" w:history="1">
        <w:r w:rsidRPr="00CF2C96">
          <w:rPr>
            <w:rFonts w:ascii="Segoe UI" w:eastAsia="Times New Roman" w:hAnsi="Segoe UI" w:cs="Segoe UI"/>
            <w:color w:val="0089E1"/>
            <w:szCs w:val="24"/>
            <w:lang w:eastAsia="es-CO"/>
          </w:rPr>
          <w:t>artículo 260-11</w:t>
        </w:r>
      </w:hyperlink>
      <w:r w:rsidRPr="00CF2C96">
        <w:rPr>
          <w:rFonts w:ascii="Segoe UI" w:eastAsia="Times New Roman" w:hAnsi="Segoe UI" w:cs="Segoe UI"/>
          <w:szCs w:val="24"/>
          <w:lang w:eastAsia="es-CO"/>
        </w:rPr>
        <w:t xml:space="preserve"> del Estatuto Tributario, estableciendo las sanciones respecto de la documentación comprobatoria y la declaración informativa.</w:t>
      </w:r>
    </w:p>
    <w:p w:rsidR="00CF2C96" w:rsidRPr="00CF2C96" w:rsidRDefault="00CF2C96" w:rsidP="00CF2C96">
      <w:pPr>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98 de la Ley 1607 de 2012 adiciona el </w:t>
      </w:r>
      <w:hyperlink r:id="rId35" w:tooltip="Estatuto Tributario CETA" w:history="1">
        <w:r w:rsidRPr="00CF2C96">
          <w:rPr>
            <w:rFonts w:ascii="Segoe UI" w:eastAsia="Times New Roman" w:hAnsi="Segoe UI" w:cs="Segoe UI"/>
            <w:color w:val="0089E1"/>
            <w:szCs w:val="24"/>
            <w:lang w:eastAsia="es-CO"/>
          </w:rPr>
          <w:t>artículo 319-2</w:t>
        </w:r>
      </w:hyperlink>
      <w:r w:rsidRPr="00CF2C96">
        <w:rPr>
          <w:rFonts w:ascii="Segoe UI" w:eastAsia="Times New Roman" w:hAnsi="Segoe UI" w:cs="Segoe UI"/>
          <w:szCs w:val="24"/>
          <w:lang w:eastAsia="es-CO"/>
        </w:rPr>
        <w:t xml:space="preserve"> al Estatuto Tributario, estableciendo que los aportes en especie y en industria a sociedades y entidades extranjeras están sometidos al régimen de precios de transferencia y que los aportes de intangibles deberán reportarse en la declaración informativa de precios de transferencia.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Que el artículo 197 de la Ley 1607 de 2012, determina que las sanciones a que se refiere el Régimen Tributario Nacional se deberán imponer teniendo en cuenta, entre otros, los principios de </w:t>
      </w:r>
      <w:proofErr w:type="spellStart"/>
      <w:r w:rsidRPr="00CF2C96">
        <w:rPr>
          <w:rFonts w:ascii="Segoe UI" w:eastAsia="Times New Roman" w:hAnsi="Segoe UI" w:cs="Segoe UI"/>
          <w:szCs w:val="24"/>
          <w:lang w:eastAsia="es-CO"/>
        </w:rPr>
        <w:t>lesividad</w:t>
      </w:r>
      <w:proofErr w:type="spellEnd"/>
      <w:r w:rsidRPr="00CF2C96">
        <w:rPr>
          <w:rFonts w:ascii="Segoe UI" w:eastAsia="Times New Roman" w:hAnsi="Segoe UI" w:cs="Segoe UI"/>
          <w:szCs w:val="24"/>
          <w:lang w:eastAsia="es-CO"/>
        </w:rPr>
        <w:t>, favorabilidad, proporcionalidad, gradualidad y economía.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Que en razón de lo precedente, se hace necesario precisar el alcance de la legislación de precios de transferencia para los contribuyentes del impuesto sobre la renta y complementarios obligados al régimen, observando lo establecido en las normas sustantivas, en cuanto corresponde al reglamento administrativo delimitar el tema y permitir su concreción.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Que cumplida la formalidad prevista en el numeral 8 del artículo 8° del Código de Procedimiento Administrativo y de lo Contencioso Administrativo en relación con el texto del presente decreto,</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szCs w:val="24"/>
          <w:lang w:eastAsia="es-CO"/>
        </w:rPr>
        <w:t>DECRETA:</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szCs w:val="24"/>
          <w:lang w:eastAsia="es-CO"/>
        </w:rPr>
        <w:t>CAPÍTULO I</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bCs/>
          <w:szCs w:val="24"/>
          <w:lang w:eastAsia="es-CO"/>
        </w:rPr>
        <w:t>Criterios de vinculación, contribuyentes obligados, operaciones de financiamiento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 xml:space="preserve">Artículo 1°. </w:t>
      </w:r>
      <w:r w:rsidRPr="00CF2C96">
        <w:rPr>
          <w:rFonts w:ascii="Segoe UI" w:eastAsia="Times New Roman" w:hAnsi="Segoe UI" w:cs="Segoe UI"/>
          <w:i/>
          <w:iCs/>
          <w:szCs w:val="24"/>
          <w:lang w:eastAsia="es-CO"/>
        </w:rPr>
        <w:t xml:space="preserve">Criterios de vinculación. </w:t>
      </w:r>
      <w:r w:rsidRPr="00CF2C96">
        <w:rPr>
          <w:rFonts w:ascii="Segoe UI" w:eastAsia="Times New Roman" w:hAnsi="Segoe UI" w:cs="Segoe UI"/>
          <w:szCs w:val="24"/>
          <w:lang w:eastAsia="es-CO"/>
        </w:rPr>
        <w:t xml:space="preserve">Para efectos del impuesto sobre la renta y complementarios y sin perjuicio de lo señalado en el </w:t>
      </w:r>
      <w:hyperlink r:id="rId36" w:tooltip="Estatuto Tributario CETA" w:history="1">
        <w:r w:rsidRPr="00CF2C96">
          <w:rPr>
            <w:rFonts w:ascii="Segoe UI" w:eastAsia="Times New Roman" w:hAnsi="Segoe UI" w:cs="Segoe UI"/>
            <w:color w:val="0089E1"/>
            <w:szCs w:val="24"/>
            <w:lang w:eastAsia="es-CO"/>
          </w:rPr>
          <w:t>artículo 260-1</w:t>
        </w:r>
      </w:hyperlink>
      <w:r w:rsidRPr="00CF2C96">
        <w:rPr>
          <w:rFonts w:ascii="Segoe UI" w:eastAsia="Times New Roman" w:hAnsi="Segoe UI" w:cs="Segoe UI"/>
          <w:szCs w:val="24"/>
          <w:lang w:eastAsia="es-CO"/>
        </w:rPr>
        <w:t xml:space="preserve"> del Estatuto Tributario, se considera que existe vinculación cuando el contribuyente se encuentra en uno o más de los siguientes casos: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a) De conformidad con lo señalado en el numeral V del literal b) del numeral 1 del </w:t>
      </w:r>
      <w:hyperlink r:id="rId37" w:tooltip="Estatuto Tributario CETA" w:history="1">
        <w:r w:rsidRPr="00CF2C96">
          <w:rPr>
            <w:rFonts w:ascii="Segoe UI" w:eastAsia="Times New Roman" w:hAnsi="Segoe UI" w:cs="Segoe UI"/>
            <w:color w:val="0089E1"/>
            <w:szCs w:val="24"/>
            <w:lang w:eastAsia="es-CO"/>
          </w:rPr>
          <w:t>artículo 260-1</w:t>
        </w:r>
      </w:hyperlink>
      <w:r w:rsidRPr="00CF2C96">
        <w:rPr>
          <w:rFonts w:ascii="Segoe UI" w:eastAsia="Times New Roman" w:hAnsi="Segoe UI" w:cs="Segoe UI"/>
          <w:szCs w:val="24"/>
          <w:lang w:eastAsia="es-CO"/>
        </w:rPr>
        <w:t xml:space="preserve"> del Estatuto Tributario, se considera que existe vinculación, cuando en dos o más entidades una persona natural o jurídica, o una entidad o esquema de naturaleza no societaria, aunque no se encuentre vinculada por capital, tenga derecho a percibir directa o indirectamente más del cincuenta por ciento (50%) de las utilidades de una sociedad.</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b) De conformidad con lo señalado en el literal b) del numeral 5 del </w:t>
      </w:r>
      <w:hyperlink r:id="rId38" w:tooltip="Estatuto Tributario CETA" w:history="1">
        <w:r w:rsidRPr="00CF2C96">
          <w:rPr>
            <w:rFonts w:ascii="Segoe UI" w:eastAsia="Times New Roman" w:hAnsi="Segoe UI" w:cs="Segoe UI"/>
            <w:color w:val="0089E1"/>
            <w:szCs w:val="24"/>
            <w:lang w:eastAsia="es-CO"/>
          </w:rPr>
          <w:t>artículo 260-1</w:t>
        </w:r>
      </w:hyperlink>
      <w:r w:rsidRPr="00CF2C96">
        <w:rPr>
          <w:rFonts w:ascii="Segoe UI" w:eastAsia="Times New Roman" w:hAnsi="Segoe UI" w:cs="Segoe UI"/>
          <w:szCs w:val="24"/>
          <w:lang w:eastAsia="es-CO"/>
        </w:rPr>
        <w:t xml:space="preserve"> del Estatuto Tributario, se considera que existe vinculación económica, cuando la operación tiene lugar entre dos subordinadas que pertenezcan directa o indirectamente en más del cincuenta por ciento (50%) a una misma persona natural o jurídica o entidades o esquemas de naturaleza no societaria.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c) De conformidad con lo señalado en el literal g) del numeral 5 del </w:t>
      </w:r>
      <w:hyperlink r:id="rId39" w:tooltip="Estatuto Tributario CETA" w:history="1">
        <w:r w:rsidRPr="00CF2C96">
          <w:rPr>
            <w:rFonts w:ascii="Segoe UI" w:eastAsia="Times New Roman" w:hAnsi="Segoe UI" w:cs="Segoe UI"/>
            <w:color w:val="0089E1"/>
            <w:szCs w:val="24"/>
            <w:lang w:eastAsia="es-CO"/>
          </w:rPr>
          <w:t>artículo 260-1</w:t>
        </w:r>
      </w:hyperlink>
      <w:r w:rsidRPr="00CF2C96">
        <w:rPr>
          <w:rFonts w:ascii="Segoe UI" w:eastAsia="Times New Roman" w:hAnsi="Segoe UI" w:cs="Segoe UI"/>
          <w:szCs w:val="24"/>
          <w:lang w:eastAsia="es-CO"/>
        </w:rPr>
        <w:t xml:space="preserve"> del Estatuto Tributario, se considera que existe vinculación económica cuando existan consorcios, uniones temporales, cuentas en participación, otras formas asociativas que no den origen a personas jurídicas y demás contratos de colaboración empresarial, cuando los mismos celebren operaciones con vinculados de uno cualquiera de los miembros, en relación con el objeto del consorcio, unión temporal, cuentas en participación u otras formas asociativas, caso en el cual las obligaciones relativas al régimen de precios de transferencia deberán ser cumplidas por el miembro del consorcio, unión temporal, cuentas en participación u otras formas asociativas respecto de quien se predique la vinculación.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2°.</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Contribuyentes obligados a presentar declaración informativa de precios de transferencia y a preparar y enviar documentación comprobatoria. </w:t>
      </w:r>
      <w:r w:rsidRPr="00CF2C96">
        <w:rPr>
          <w:rFonts w:ascii="Segoe UI" w:eastAsia="Times New Roman" w:hAnsi="Segoe UI" w:cs="Segoe UI"/>
          <w:szCs w:val="24"/>
          <w:lang w:eastAsia="es-CO"/>
        </w:rPr>
        <w:t xml:space="preserve">Los contribuyentes del impuesto sobre la renta y complementarios que celebren operaciones con vinculados y/o estén obligados a la aplicación de las normas que regulen el régimen de precios de transferencia, deberán llevar a cabo tales </w:t>
      </w:r>
      <w:r w:rsidRPr="00CF2C96">
        <w:rPr>
          <w:rFonts w:ascii="Segoe UI" w:eastAsia="Times New Roman" w:hAnsi="Segoe UI" w:cs="Segoe UI"/>
          <w:szCs w:val="24"/>
          <w:lang w:eastAsia="es-CO"/>
        </w:rPr>
        <w:lastRenderedPageBreak/>
        <w:t>operaciones en cumplimiento del Principio de Plena Competencia, entendido como aquel en el cual las operaciones entre vinculados cumplen con las condiciones que se hubiesen observado en operaciones comparables con o entre partes independientes. Lo anterior a efectos de determinar sus ingresos ordinarios y extraordinarios, costos, deducciones, activos y pasivos para los fines del impuesto sobre la renta y complementarios.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Sin perjuicio de lo anterior y de conformidad con lo establecido en los artículos </w:t>
      </w:r>
      <w:hyperlink r:id="rId40" w:tooltip="Estatuto Tributario CETA" w:history="1">
        <w:r w:rsidRPr="00CF2C96">
          <w:rPr>
            <w:rFonts w:ascii="Segoe UI" w:eastAsia="Times New Roman" w:hAnsi="Segoe UI" w:cs="Segoe UI"/>
            <w:color w:val="0089E1"/>
            <w:szCs w:val="24"/>
            <w:lang w:eastAsia="es-CO"/>
          </w:rPr>
          <w:t>260-5</w:t>
        </w:r>
      </w:hyperlink>
      <w:r w:rsidRPr="00CF2C96">
        <w:rPr>
          <w:rFonts w:ascii="Segoe UI" w:eastAsia="Times New Roman" w:hAnsi="Segoe UI" w:cs="Segoe UI"/>
          <w:szCs w:val="24"/>
          <w:lang w:eastAsia="es-CO"/>
        </w:rPr>
        <w:t xml:space="preserve">, </w:t>
      </w:r>
      <w:hyperlink r:id="rId41" w:tooltip="Estatuto Tributario CETA" w:history="1">
        <w:r w:rsidRPr="00CF2C96">
          <w:rPr>
            <w:rFonts w:ascii="Segoe UI" w:eastAsia="Times New Roman" w:hAnsi="Segoe UI" w:cs="Segoe UI"/>
            <w:color w:val="0089E1"/>
            <w:szCs w:val="24"/>
            <w:lang w:eastAsia="es-CO"/>
          </w:rPr>
          <w:t>260-9</w:t>
        </w:r>
      </w:hyperlink>
      <w:r w:rsidRPr="00CF2C96">
        <w:rPr>
          <w:rFonts w:ascii="Segoe UI" w:eastAsia="Times New Roman" w:hAnsi="Segoe UI" w:cs="Segoe UI"/>
          <w:szCs w:val="24"/>
          <w:lang w:eastAsia="es-CO"/>
        </w:rPr>
        <w:t xml:space="preserve"> y en el parágrafo 2° del </w:t>
      </w:r>
      <w:hyperlink r:id="rId42" w:tooltip="Estatuto Tributario CETA" w:history="1">
        <w:r w:rsidRPr="00CF2C96">
          <w:rPr>
            <w:rFonts w:ascii="Segoe UI" w:eastAsia="Times New Roman" w:hAnsi="Segoe UI" w:cs="Segoe UI"/>
            <w:color w:val="0089E1"/>
            <w:szCs w:val="24"/>
            <w:lang w:eastAsia="es-CO"/>
          </w:rPr>
          <w:t>artículo 260-7</w:t>
        </w:r>
      </w:hyperlink>
      <w:r w:rsidRPr="00CF2C96">
        <w:rPr>
          <w:rFonts w:ascii="Segoe UI" w:eastAsia="Times New Roman" w:hAnsi="Segoe UI" w:cs="Segoe UI"/>
          <w:szCs w:val="24"/>
          <w:lang w:eastAsia="es-CO"/>
        </w:rPr>
        <w:t xml:space="preserve"> del Estatuto Tributario, están obligados a presentar declaración informativa de precios de transferencia y a preparar y enviar documentación comprobatoria: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Los contribuyentes del impuesto sobre la renta y complementarios que celebren operaciones con vinculados del exterior, cuyo patrimonio bruto en el último día del respectivo año o período gravable sea igual o superior al equivalente a cien mil (100.000) UVT o cuyos ingresos brutos del respectivo año sean iguales o superiores al equivalente a sesenta y un mil (61.000) UVT.</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Los contribuyentes del impuesto sobre la renta y complementarios ubicados, domiciliados o residentes en el Territorio Aduanero Nacional que celebren operaciones con vinculados ubicados en zona franca, cuyo patrimonio bruto en el último día del respectivo año o período gravable sea igual o superior al equivalente a cien mil (100.000) UVT o cuyos ingresos brutos del respectivo año sean iguales o superiores al equivalente a sesenta y un mil (61.000) UVT.</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Los contribuyentes del impuesto sobre la renta y complementarios que realicen operaciones con personas, sociedades, entidades o empresas ubicadas, residentes o domiciliadas en paraísos fiscales calificados como tales por el Gobierno Nacional, aunque su patrimonio bruto en el último día del respectivo año o período gravable o sus ingresos brutos del respectivo año o período gravable sean inferiores al equivalente a cien mil (100.000) UVT o sesenta y un mil (61.000) UVT, respectivamente.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No habrá lugar a preparar y enviar documentación comprobatoria, cuando la suma de la totalidad de las operaciones llevadas a cabo con personas, sociedades, entidades o empresas ubicadas, residentes o domiciliadas en paraísos fiscales dentro del respectivo año gravable, no supere al equivalente a diez mil (10.000) UVT del período gravable al cual corresponda la documentación comprobatoria.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d) Sin perjuicio de lo señalado en el parágrafo del </w:t>
      </w:r>
      <w:hyperlink r:id="rId43" w:tooltip="Estatuto Tributario CETA" w:history="1">
        <w:r w:rsidRPr="00CF2C96">
          <w:rPr>
            <w:rFonts w:ascii="Segoe UI" w:eastAsia="Times New Roman" w:hAnsi="Segoe UI" w:cs="Segoe UI"/>
            <w:color w:val="0089E1"/>
            <w:szCs w:val="24"/>
            <w:lang w:eastAsia="es-CO"/>
          </w:rPr>
          <w:t>artículo 20-2</w:t>
        </w:r>
      </w:hyperlink>
      <w:r w:rsidRPr="00CF2C96">
        <w:rPr>
          <w:rFonts w:ascii="Segoe UI" w:eastAsia="Times New Roman" w:hAnsi="Segoe UI" w:cs="Segoe UI"/>
          <w:szCs w:val="24"/>
          <w:lang w:eastAsia="es-CO"/>
        </w:rPr>
        <w:t xml:space="preserve"> del Estatuto Tributario, los establecimientos permanentes de personas naturales no residentes o de personas jurídicas o entidades extranjeras y las sucursales y agencias de sociedades extranjeras, contribuyentes del impuesto sobre la renta y complementarios que celebren operaciones con vinculados del exterior, cuyo patrimonio bruto en el último día del respectivo año o período gravable sea igual o superior al equivalente a cien mil (100.000) UVT o cuyos ingresos brutos del respectivo año sean iguales o superiores al equivalente a sesenta y un mil (61.000) UVT.</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e) Sin perjuicio de lo señalado en el parágrafo del </w:t>
      </w:r>
      <w:hyperlink r:id="rId44" w:tooltip="Estatuto Tributario CETA" w:history="1">
        <w:r w:rsidRPr="00CF2C96">
          <w:rPr>
            <w:rFonts w:ascii="Segoe UI" w:eastAsia="Times New Roman" w:hAnsi="Segoe UI" w:cs="Segoe UI"/>
            <w:color w:val="0089E1"/>
            <w:szCs w:val="24"/>
            <w:lang w:eastAsia="es-CO"/>
          </w:rPr>
          <w:t>artículo 20-2</w:t>
        </w:r>
      </w:hyperlink>
      <w:r w:rsidRPr="00CF2C96">
        <w:rPr>
          <w:rFonts w:ascii="Segoe UI" w:eastAsia="Times New Roman" w:hAnsi="Segoe UI" w:cs="Segoe UI"/>
          <w:szCs w:val="24"/>
          <w:lang w:eastAsia="es-CO"/>
        </w:rPr>
        <w:t xml:space="preserve"> del Estatuto Tributario, los establecimientos permanentes de personas naturales no residentes o de personas jurídicas o entidades extranjeras y las sucursales y agencias de </w:t>
      </w:r>
      <w:r w:rsidRPr="00CF2C96">
        <w:rPr>
          <w:rFonts w:ascii="Segoe UI" w:eastAsia="Times New Roman" w:hAnsi="Segoe UI" w:cs="Segoe UI"/>
          <w:szCs w:val="24"/>
          <w:lang w:eastAsia="es-CO"/>
        </w:rPr>
        <w:lastRenderedPageBreak/>
        <w:t>sociedades extranjeras, contribuyentes del impuesto sobre la renta y complementarios que realicen operaciones con vinculados ubicados en zona franca, cuyo patrimonio bruto en el último día del respectivo año o período gravable sea igual o superior al equivalente a cien mil (100.000) UVT o cuyos ingresos brutos del respectivo año sean iguales o superiores al equivalente a sesenta y un mil (61.000) UVT.</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f) Sin perjuicio de lo señalado en el parágrafo del </w:t>
      </w:r>
      <w:hyperlink r:id="rId45" w:tooltip="Estatuto Tributario CETA" w:history="1">
        <w:r w:rsidRPr="00CF2C96">
          <w:rPr>
            <w:rFonts w:ascii="Segoe UI" w:eastAsia="Times New Roman" w:hAnsi="Segoe UI" w:cs="Segoe UI"/>
            <w:color w:val="0089E1"/>
            <w:szCs w:val="24"/>
            <w:lang w:eastAsia="es-CO"/>
          </w:rPr>
          <w:t>artículo 20-2</w:t>
        </w:r>
      </w:hyperlink>
      <w:r w:rsidRPr="00CF2C96">
        <w:rPr>
          <w:rFonts w:ascii="Segoe UI" w:eastAsia="Times New Roman" w:hAnsi="Segoe UI" w:cs="Segoe UI"/>
          <w:szCs w:val="24"/>
          <w:lang w:eastAsia="es-CO"/>
        </w:rPr>
        <w:t xml:space="preserve"> del Estatuto Tributario, los establecimientos permanentes de personas naturales no residentes o de personas jurídicas o entidades extranjeras y las sucursales y agencias de sociedades extranjeras, contribuyentes del impuesto sobre la renta y complementarios que realicen operaciones con personas, sociedades, entidades o empresas ubicadas, residentes o domiciliadas en paraísos fiscales calificados como tales por el Gobierno Nacional, aunque su patrimonio bruto en el último día del respectivo año o período gravable o sus ingresos brutos del respectivo año o período gravable sean inferiores al equivalente a cien mil (100.000) UVT o a sesenta y un mil (61.000) UVT, respectivamente.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No habrá lugar a preparar y conservar documentación comprobatoria, cuando la suma de la totalidad de las operaciones llevadas a cabo con residentes o domiciliados en paraísos fiscales dentro del respectivo año o período gravable, no supere al equivalente a las diez mil (10.000) UVT del período gravable al cual corresponda la documentación comprobatoria.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g) Sin perjuicio de lo señalado en el parágrafo del </w:t>
      </w:r>
      <w:hyperlink r:id="rId46" w:tooltip="Estatuto Tributario CETA" w:history="1">
        <w:r w:rsidRPr="00CF2C96">
          <w:rPr>
            <w:rFonts w:ascii="Segoe UI" w:eastAsia="Times New Roman" w:hAnsi="Segoe UI" w:cs="Segoe UI"/>
            <w:color w:val="0089E1"/>
            <w:szCs w:val="24"/>
            <w:lang w:eastAsia="es-CO"/>
          </w:rPr>
          <w:t>artículo 20-2</w:t>
        </w:r>
      </w:hyperlink>
      <w:r w:rsidRPr="00CF2C96">
        <w:rPr>
          <w:rFonts w:ascii="Segoe UI" w:eastAsia="Times New Roman" w:hAnsi="Segoe UI" w:cs="Segoe UI"/>
          <w:szCs w:val="24"/>
          <w:lang w:eastAsia="es-CO"/>
        </w:rPr>
        <w:t xml:space="preserve"> del Estatuto Tributario y de conformidad con lo preceptuado en el </w:t>
      </w:r>
      <w:hyperlink r:id="rId47" w:tooltip="Estatuto Tributario CETA" w:history="1">
        <w:r w:rsidRPr="00CF2C96">
          <w:rPr>
            <w:rFonts w:ascii="Segoe UI" w:eastAsia="Times New Roman" w:hAnsi="Segoe UI" w:cs="Segoe UI"/>
            <w:color w:val="0089E1"/>
            <w:szCs w:val="24"/>
            <w:lang w:eastAsia="es-CO"/>
          </w:rPr>
          <w:t>artículo 260-2</w:t>
        </w:r>
      </w:hyperlink>
      <w:r w:rsidRPr="00CF2C96">
        <w:rPr>
          <w:rFonts w:ascii="Segoe UI" w:eastAsia="Times New Roman" w:hAnsi="Segoe UI" w:cs="Segoe UI"/>
          <w:szCs w:val="24"/>
          <w:lang w:eastAsia="es-CO"/>
        </w:rPr>
        <w:t xml:space="preserve"> del Estatuto Tributario, los establecimientos permanentes de personas naturales no residentes o de personas jurídicas o entidades extranjeras y las sucursales y agencias de sociedades extranjeras, contribuyentes del impuesto sobre la renta y complementarios, cuando personas naturales no residentes o personas jurídicas o entidades extranjeras celebren operaciones con otras personas naturales no residentes, personas jurídicas o entidades extranjeras a favor de dicho establecimiento permanente, cuyo patrimonio bruto en el último día del respectivo año o período gravable sea igual o superior al equivalente a cien mil (100.000) UVT o cuyos ingresos brutos del respectivo año sean iguales o superiores al equivalente a sesenta y un mil (61.000) UVT.</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h) Sin perjuicio de lo señalado en el parágrafo del </w:t>
      </w:r>
      <w:hyperlink r:id="rId48" w:tooltip="Estatuto Tributario CETA" w:history="1">
        <w:r w:rsidRPr="00CF2C96">
          <w:rPr>
            <w:rFonts w:ascii="Segoe UI" w:eastAsia="Times New Roman" w:hAnsi="Segoe UI" w:cs="Segoe UI"/>
            <w:color w:val="0089E1"/>
            <w:szCs w:val="24"/>
            <w:lang w:eastAsia="es-CO"/>
          </w:rPr>
          <w:t>artículo 20-2</w:t>
        </w:r>
      </w:hyperlink>
      <w:r w:rsidRPr="00CF2C96">
        <w:rPr>
          <w:rFonts w:ascii="Segoe UI" w:eastAsia="Times New Roman" w:hAnsi="Segoe UI" w:cs="Segoe UI"/>
          <w:szCs w:val="24"/>
          <w:lang w:eastAsia="es-CO"/>
        </w:rPr>
        <w:t xml:space="preserve"> del Estatuto Tributario y de conformidad con lo preceptuado en el </w:t>
      </w:r>
      <w:hyperlink r:id="rId49" w:tooltip="Estatuto Tributario CETA" w:history="1">
        <w:r w:rsidRPr="00CF2C96">
          <w:rPr>
            <w:rFonts w:ascii="Segoe UI" w:eastAsia="Times New Roman" w:hAnsi="Segoe UI" w:cs="Segoe UI"/>
            <w:color w:val="0089E1"/>
            <w:szCs w:val="24"/>
            <w:lang w:eastAsia="es-CO"/>
          </w:rPr>
          <w:t>artículo 260-2</w:t>
        </w:r>
      </w:hyperlink>
      <w:r w:rsidRPr="00CF2C96">
        <w:rPr>
          <w:rFonts w:ascii="Segoe UI" w:eastAsia="Times New Roman" w:hAnsi="Segoe UI" w:cs="Segoe UI"/>
          <w:szCs w:val="24"/>
          <w:lang w:eastAsia="es-CO"/>
        </w:rPr>
        <w:t xml:space="preserve"> del Estatuto Tributario, los establecimientos permanentes de personas naturales no residentes o de personas jurídicas o entidades extranjeras y las sucursales y agencias de sociedades extranjeras, contribuyentes del impuesto sobre la renta y complementarios, cuando los vinculados ubicados en zona franca celebren operaciones con otras personas naturales no residentes, personas jurídicas o entidades extranjeras, a favor de dicho establecimiento permanente, cuyo patrimonio bruto en el último día del respectivo año o período gravable sea igual o superior al equivalente a cien mil (100.000) UVT o cuyos ingresos brutos del respectivo año sean iguales o superiores al equivalente a sesenta y un mil (61.000) UVT.</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i) Sin perjuicio de lo señalado en el parágrafo del </w:t>
      </w:r>
      <w:hyperlink r:id="rId50" w:tooltip="Estatuto Tributario CETA" w:history="1">
        <w:r w:rsidRPr="00CF2C96">
          <w:rPr>
            <w:rFonts w:ascii="Segoe UI" w:eastAsia="Times New Roman" w:hAnsi="Segoe UI" w:cs="Segoe UI"/>
            <w:color w:val="0089E1"/>
            <w:szCs w:val="24"/>
            <w:lang w:eastAsia="es-CO"/>
          </w:rPr>
          <w:t>artículo 20-2</w:t>
        </w:r>
      </w:hyperlink>
      <w:r w:rsidRPr="00CF2C96">
        <w:rPr>
          <w:rFonts w:ascii="Segoe UI" w:eastAsia="Times New Roman" w:hAnsi="Segoe UI" w:cs="Segoe UI"/>
          <w:szCs w:val="24"/>
          <w:lang w:eastAsia="es-CO"/>
        </w:rPr>
        <w:t xml:space="preserve"> del Estatuto Tributario, y de conformidad con lo preceptuado en el </w:t>
      </w:r>
      <w:hyperlink r:id="rId51" w:tooltip="Estatuto Tributario CETA" w:history="1">
        <w:r w:rsidRPr="00CF2C96">
          <w:rPr>
            <w:rFonts w:ascii="Segoe UI" w:eastAsia="Times New Roman" w:hAnsi="Segoe UI" w:cs="Segoe UI"/>
            <w:color w:val="0089E1"/>
            <w:szCs w:val="24"/>
            <w:lang w:eastAsia="es-CO"/>
          </w:rPr>
          <w:t>artículo 260-2</w:t>
        </w:r>
      </w:hyperlink>
      <w:r w:rsidRPr="00CF2C96">
        <w:rPr>
          <w:rFonts w:ascii="Segoe UI" w:eastAsia="Times New Roman" w:hAnsi="Segoe UI" w:cs="Segoe UI"/>
          <w:szCs w:val="24"/>
          <w:lang w:eastAsia="es-CO"/>
        </w:rPr>
        <w:t xml:space="preserve"> del Estatuto </w:t>
      </w:r>
      <w:r w:rsidRPr="00CF2C96">
        <w:rPr>
          <w:rFonts w:ascii="Segoe UI" w:eastAsia="Times New Roman" w:hAnsi="Segoe UI" w:cs="Segoe UI"/>
          <w:szCs w:val="24"/>
          <w:lang w:eastAsia="es-CO"/>
        </w:rPr>
        <w:lastRenderedPageBreak/>
        <w:t>Tributario, los establecimientos permanentes de personas naturales no residentes o de personas jurídicas o entidades extranjeras y las sucursales y agencias de sociedades extranjeras, contribuyentes del impuesto sobre la renta y complementarios, cuando personas naturales no residentes o personas jurídicas o entidades extranjeras ubicadas, residentes o domiciliadas en paraísos fiscales, calificados como tales por el Gobierno Nacional, celebren operaciones con otras personas naturales no residentes, personas jurídicas o entidades extranjeras a favor de dicho establecimiento permanente, aunque su patrimonio bruto en el último día del respectivo año o período gravable o sus ingresos brutos del respectivo año o período gravable sean inferiores al equivalente a cien mil (100.000) UVT o sesenta y un mil (61.000) UVT, respectivamente.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No habrá lugar a preparar y conservar documentación comprobatoria, cuando la suma de la totalidad de las operaciones llevadas a cabo con residentes o domiciliados en paraísos fiscales dentro del respectivo año o período gravable, no supere al equivalente a las diez mil (10.000) UVT del período gravable al cual corresponda la documentación comprobatoria.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 1°.</w:t>
      </w:r>
      <w:r w:rsidRPr="00CF2C96">
        <w:rPr>
          <w:rFonts w:ascii="Segoe UI" w:eastAsia="Times New Roman" w:hAnsi="Segoe UI" w:cs="Segoe UI"/>
          <w:szCs w:val="24"/>
          <w:lang w:eastAsia="es-CO"/>
        </w:rPr>
        <w:t xml:space="preserve"> Para los literales a), b), d), e), g) y h) de este artículo, no habrá lugar a preparar y enviar documentación comprobatoria cuando la sumatoria de la totalidad de operaciones realizadas con vinculados durante el respectivo año sea inferior al equivalente a sesenta y un mil (61.000) UVT del período gravable al cual corresponda la documentación comprobatoria. Adicionalmente, no habrá lugar a preparar y enviar documentación comprobatoria por aquellos tipos de operación señalados en el artículo 11 del presente decreto, cuyo monto anual acumulado no supere el equivalente a treinta y dos mil (32.000) UVT del año o período gravable al cual corresponda la documentación comprobatoria.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 2°.</w:t>
      </w:r>
      <w:r w:rsidRPr="00CF2C96">
        <w:rPr>
          <w:rFonts w:ascii="Segoe UI" w:eastAsia="Times New Roman" w:hAnsi="Segoe UI" w:cs="Segoe UI"/>
          <w:szCs w:val="24"/>
          <w:lang w:eastAsia="es-CO"/>
        </w:rPr>
        <w:t xml:space="preserve"> En el caso de operaciones de financiamiento, en particular en aquellas relacionadas con los préstamos que deban ser declarados como tipo de operación de “Intereses sobre préstamos” a que se refiere el artículo 11 de este decreto y en concordancia con el literal a) del numeral 1 del </w:t>
      </w:r>
      <w:hyperlink r:id="rId52" w:tooltip="Estatuto Tributario CETA" w:history="1">
        <w:r w:rsidRPr="00CF2C96">
          <w:rPr>
            <w:rFonts w:ascii="Segoe UI" w:eastAsia="Times New Roman" w:hAnsi="Segoe UI" w:cs="Segoe UI"/>
            <w:color w:val="0089E1"/>
            <w:szCs w:val="24"/>
            <w:lang w:eastAsia="es-CO"/>
          </w:rPr>
          <w:t>artículo 260-4</w:t>
        </w:r>
      </w:hyperlink>
      <w:r w:rsidRPr="00CF2C96">
        <w:rPr>
          <w:rFonts w:ascii="Segoe UI" w:eastAsia="Times New Roman" w:hAnsi="Segoe UI" w:cs="Segoe UI"/>
          <w:szCs w:val="24"/>
          <w:lang w:eastAsia="es-CO"/>
        </w:rPr>
        <w:t xml:space="preserve"> del Estatuto Tributario, para efectos de determinar si la operación supera los topes a que se refiere este artículo, deberá tenerse en cuenta el monto del principal que sea prestado entre el contribuyente del impuesto sobre la renta complementarios y sus vinculados del exterior, vinculados ubicados en zonas francas y personas, sociedades, entidades o empresas ubicadas, residentes o domiciliadas en paraísos fiscales.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 3°.</w:t>
      </w:r>
      <w:r w:rsidRPr="00CF2C96">
        <w:rPr>
          <w:rFonts w:ascii="Segoe UI" w:eastAsia="Times New Roman" w:hAnsi="Segoe UI" w:cs="Segoe UI"/>
          <w:szCs w:val="24"/>
          <w:lang w:eastAsia="es-CO"/>
        </w:rPr>
        <w:t xml:space="preserve"> Los contribuyentes del impuesto sobre la renta y complementarios que de conformidad con lo previsto en el presente artículo no estén obligados a presentar declaración informativa ni a preparar y conservar documentación comprobatoria, deberán conservar los documentos, informaciones y pruebas que respalden las operaciones con sus vinculados del exterior, o con vinculados ubicados en zona franca, u operaciones con personas, sociedades, entidades o empresas ubicadas, residentes o domiciliadas en paraísos fiscales, de acuerdo con las normas generales contenidas en el Estatuto Tributario.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lastRenderedPageBreak/>
        <w:t>Artículo 3°.</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Operaciones de financiamiento. </w:t>
      </w:r>
      <w:r w:rsidRPr="00CF2C96">
        <w:rPr>
          <w:rFonts w:ascii="Segoe UI" w:eastAsia="Times New Roman" w:hAnsi="Segoe UI" w:cs="Segoe UI"/>
          <w:szCs w:val="24"/>
          <w:lang w:eastAsia="es-CO"/>
        </w:rPr>
        <w:t xml:space="preserve">Sin perjuicio de lo señalado en el </w:t>
      </w:r>
      <w:hyperlink r:id="rId53" w:tooltip="Estatuto Tributario CETA" w:history="1">
        <w:r w:rsidRPr="00CF2C96">
          <w:rPr>
            <w:rFonts w:ascii="Segoe UI" w:eastAsia="Times New Roman" w:hAnsi="Segoe UI" w:cs="Segoe UI"/>
            <w:color w:val="0089E1"/>
            <w:szCs w:val="24"/>
            <w:lang w:eastAsia="es-CO"/>
          </w:rPr>
          <w:t>artículo 118-1</w:t>
        </w:r>
      </w:hyperlink>
      <w:r w:rsidRPr="00CF2C96">
        <w:rPr>
          <w:rFonts w:ascii="Segoe UI" w:eastAsia="Times New Roman" w:hAnsi="Segoe UI" w:cs="Segoe UI"/>
          <w:szCs w:val="24"/>
          <w:lang w:eastAsia="es-CO"/>
        </w:rPr>
        <w:t xml:space="preserve"> del Estatuto Tributario y los demás requisitos y condiciones consagrados en el mismo Estatuto para la procedencia de la deducción de los gastos por concepto de intereses, no serán deducibles los pagos por concepto de intereses realizados a vinculados del exterior, a vinculados ubicados en zonas francas, y/o a personas, sociedades, entidades o empresas ubicadas, residentes o domiciliadas en paraísos fiscales, respecto de los cuales no se cumplan los criterios de comparabilidad de que trata el literal a) del numeral 1 del </w:t>
      </w:r>
      <w:hyperlink r:id="rId54" w:tooltip="Estatuto Tributario CETA" w:history="1">
        <w:r w:rsidRPr="00CF2C96">
          <w:rPr>
            <w:rFonts w:ascii="Segoe UI" w:eastAsia="Times New Roman" w:hAnsi="Segoe UI" w:cs="Segoe UI"/>
            <w:color w:val="0089E1"/>
            <w:szCs w:val="24"/>
            <w:lang w:eastAsia="es-CO"/>
          </w:rPr>
          <w:t>artículo 260-4</w:t>
        </w:r>
      </w:hyperlink>
      <w:r w:rsidRPr="00CF2C96">
        <w:rPr>
          <w:rFonts w:ascii="Segoe UI" w:eastAsia="Times New Roman" w:hAnsi="Segoe UI" w:cs="Segoe UI"/>
          <w:szCs w:val="24"/>
          <w:lang w:eastAsia="es-CO"/>
        </w:rPr>
        <w:t xml:space="preserve"> de la misma normatividad. En consecuencia dichas operaciones no serán consideradas como préstamos ni intereses, sino como aportes de capital y serán tratadas como dividendos.</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szCs w:val="24"/>
          <w:lang w:eastAsia="es-CO"/>
        </w:rPr>
        <w:t>CAPÍTULO II</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bCs/>
          <w:szCs w:val="24"/>
          <w:lang w:eastAsia="es-CO"/>
        </w:rPr>
        <w:t>Documentación comprobatoria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4°.</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Contenido de la documentación comprobatoria. </w:t>
      </w:r>
      <w:r w:rsidRPr="00CF2C96">
        <w:rPr>
          <w:rFonts w:ascii="Segoe UI" w:eastAsia="Times New Roman" w:hAnsi="Segoe UI" w:cs="Segoe UI"/>
          <w:szCs w:val="24"/>
          <w:lang w:eastAsia="es-CO"/>
        </w:rPr>
        <w:t xml:space="preserve">La documentación comprobatoria a que hace referencia el </w:t>
      </w:r>
      <w:hyperlink r:id="rId55" w:tooltip="Estatuto Tributario CETA" w:history="1">
        <w:r w:rsidRPr="00CF2C96">
          <w:rPr>
            <w:rFonts w:ascii="Segoe UI" w:eastAsia="Times New Roman" w:hAnsi="Segoe UI" w:cs="Segoe UI"/>
            <w:color w:val="0089E1"/>
            <w:szCs w:val="24"/>
            <w:lang w:eastAsia="es-CO"/>
          </w:rPr>
          <w:t>artículo 260-5</w:t>
        </w:r>
      </w:hyperlink>
      <w:r w:rsidRPr="00CF2C96">
        <w:rPr>
          <w:rFonts w:ascii="Segoe UI" w:eastAsia="Times New Roman" w:hAnsi="Segoe UI" w:cs="Segoe UI"/>
          <w:szCs w:val="24"/>
          <w:lang w:eastAsia="es-CO"/>
        </w:rPr>
        <w:t xml:space="preserve"> del Estatuto Tributario, deberá contener los estudios, documentos y demás soportes con los cuales el contribuyente del impuesto sobre la renta y complementarios demuestre que sus ingresos, costos, deducciones, activos y pasivos adquiridos en el respectivo año gravable, relativos a las operaciones celebradas con vinculados del exterior, o con vinculados ubicados en zonas francas, o con personas, sociedades, entidades o empresas ubicadas, residentes o domiciliadas en paraísos fiscales, fueron determinados considerando para esas operaciones el Principio de Plena Competencia, entendido como aquel en el cual las operaciones entre vinculados cumplen con las condiciones que se hubiesen observado en operaciones comparables con o entre partes independientes.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La documentación por cada tipo de operación señalada en el artículo 11 de este decreto, deberá tener el nivel de detalle requerido para demostrar la correcta aplicación de los criterios de comparabilidad de que trata el </w:t>
      </w:r>
      <w:hyperlink r:id="rId56" w:tooltip="Estatuto Tributario CETA" w:history="1">
        <w:r w:rsidRPr="00CF2C96">
          <w:rPr>
            <w:rFonts w:ascii="Segoe UI" w:eastAsia="Times New Roman" w:hAnsi="Segoe UI" w:cs="Segoe UI"/>
            <w:color w:val="0089E1"/>
            <w:szCs w:val="24"/>
            <w:lang w:eastAsia="es-CO"/>
          </w:rPr>
          <w:t>artículo 260-4</w:t>
        </w:r>
      </w:hyperlink>
      <w:r w:rsidRPr="00CF2C96">
        <w:rPr>
          <w:rFonts w:ascii="Segoe UI" w:eastAsia="Times New Roman" w:hAnsi="Segoe UI" w:cs="Segoe UI"/>
          <w:szCs w:val="24"/>
          <w:lang w:eastAsia="es-CO"/>
        </w:rPr>
        <w:t xml:space="preserve"> del Estatuto Tributario.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La determinación bajo el Principio de Plena Competencia de los ingresos, costos, deducciones, activos y pasivos por las operaciones entre vinculados se debe realizar por tipo de operación. En los casos en los que las operaciones separadas se encuentren estrechamente ligadas entre sí o sean continuación una de otra, no pudiendo valorarse separadamente, dichas operaciones deberán ser evaluadas conjuntamente usando el método más apropiado.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En aquellos casos en los que se hayan contratado varios tipos de operación como un todo, cada uno de ellos debe ser evaluado separadamente, para esta forma determinar que cumplen con las condiciones que se hubiesen observado en operaciones comparables con o entre partes independientes, para cada tipo de operación, con el fin de considerar si las condiciones que se hubiesen observado en operaciones comparables con o entre partes independientes de la operación como un todo, serían las que hubiesen pactado partes independientes.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Deberán analizarse por separado aquellos tipos de operación que aunque se denominen de manera idéntica o similar, presenten diferencias significativas en relación con las funciones efectuadas, los activos utilizados y los riesgos asumidos, aun cuando se hubieren celebrado con el mismo vinculado.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El contenido de la documentación comprobatoria, en cuanto sea compatible con el tipo de operación objeto de análisis y con el método utilizado para su evaluación, será el siguiente: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1. Resumen ejecutivo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2. Análisis funcional</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3. Análisis de mercado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4. Análisis económico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1. </w:t>
      </w:r>
      <w:r w:rsidRPr="00CF2C96">
        <w:rPr>
          <w:rFonts w:ascii="Segoe UI" w:eastAsia="Times New Roman" w:hAnsi="Segoe UI" w:cs="Segoe UI"/>
          <w:b/>
          <w:bCs/>
          <w:szCs w:val="24"/>
          <w:lang w:eastAsia="es-CO"/>
        </w:rPr>
        <w:t>Resumen ejecutivo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Este acápite deberá describir el alcance y objetivo del estudio, el contenido del mismo y las conclusiones a las que se llegó.</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2. </w:t>
      </w:r>
      <w:r w:rsidRPr="00CF2C96">
        <w:rPr>
          <w:rFonts w:ascii="Segoe UI" w:eastAsia="Times New Roman" w:hAnsi="Segoe UI" w:cs="Segoe UI"/>
          <w:b/>
          <w:bCs/>
          <w:szCs w:val="24"/>
          <w:lang w:eastAsia="es-CO"/>
        </w:rPr>
        <w:t>Análisis funcional</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Solo en la medida en que sea relevante para evaluar las condiciones de plena competencia de las operaciones realizadas por el contribuyente y que por ello resulten conducentes a los fines de precios de transferencia, en el análisis funcional se deberán identificar las actividades u operaciones con incidencia económica, las funciones realizadas, los activos utilizados y los riesgos asumidos. Para ello, dicho análisis deberá contener: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Descripción del objeto social y de la actividad o actividades que específicamente desarrolla el contribuyente. Para ello se debe incluir una descripción general del negocio, considerando aspectos como: actividad o tipo de negocio, clases de productos o servicios comercializados, clases de proveedores y clientes y determinación o políticas comerciales que permitan establecer condiciones de negociación con diferentes tipos de clientes en relación con precios, volumen y plazos, entre otros;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Información general sobre las estrategias comerciales: Innovación y desarrollo de nuevos productos, penetración, ampliación o mantenimiento del mercado, volumen de operaciones, políticas de créditos, formas de pago, costo de oportunidad, procesos de calidad, certificaciones nacionales e internacionales de productos o servicios, contratos de exclusividad y de garantías, entre otras, en la medida en que se encuentren relacionadas o hayan afectado los tipos de operación bajo análisis;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Partes intervinientes, objeto, término de duración y valor de los contratos, acuerdos o convenios celebrados entre el contribuyente y los vinculados del exterior, vinculados ubicados en zonas francas, o personas, sociedades, entidades o empresas ubicadas, residentes o domiciliadas en paraísos fiscales;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d) Breve descripción de las funciones llevadas a cabo por las partes, precisando la relevancia económica de esas funciones en términos de su frecuencia, naturaleza, remuneración y medida de su uso, para las respectivas partes intervinientes en la </w:t>
      </w:r>
      <w:r w:rsidRPr="00CF2C96">
        <w:rPr>
          <w:rFonts w:ascii="Segoe UI" w:eastAsia="Times New Roman" w:hAnsi="Segoe UI" w:cs="Segoe UI"/>
          <w:szCs w:val="24"/>
          <w:lang w:eastAsia="es-CO"/>
        </w:rPr>
        <w:lastRenderedPageBreak/>
        <w:t>transacción. La descripción de que trata este literal deberá incluir todo el detalle necesario para la parte analizada.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Las funciones pueden incluir entre otras: diseño, fabricación, ensamblaje, investigación y desarrollo, servicios, compras, comercialización, distribución, ventas, mercadeo, publicidad, transporte, financiamiento, gastos de dirección y gestión, control de calidad, operaciones financieras.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En el caso de operaciones relacionadas con intangibles, deberá incluirse una breve descripción de las principales cláusulas contractuales en donde se indiquen objeto, derechos y obligaciones, duración, zona geográfica, exclusividad, entre otros, así como el país o lugar en el cual el vinculado con quien se realizan operaciones posee sus intangibles. Además, deberá incluirse una breve descripción de la conducta o las prácticas llevadas a cabo por las partes en relación con las operaciones relacionadas con dichos intangibles.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Así mismo, deberá describirse la estrategia del grupo al cual se pertenece o del vinculado del exterior, vinculados ubicados en zonas francas, o personas, sociedades, entidades o empresas ubicadas, residentes o domiciliadas en paraísos fiscales con el(los) cual(es) se realizaron operaciones, en relación al desarrollo, mejora, mantenimiento, protección y uso de los intangibles.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Si durante el año gravable bajo estudio se llevaron a cabo transferencias de intangibles en las cuales haya participado el contribuyente colombiano, se deberán indicar las compensaciones efectuadas directa o indirectamente por parte de las partes intervinientes.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La descripción de que trata este literal deberá incluir todo el detalle necesario para la parte analizada;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 Breve descripción del tipo de activos utilizados en las operaciones objeto de estudio, tangibles o intangibles, como: instalaciones y equipos, activos financieros, intangibles valiosos, otros intangibles, incluyendo su ubicación y derechos sobre los mismos. Adicionalmente, en el caso de intangibles, deberá indicarse la protección y duración de los derechos.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La descripción de que trata este literal deberá incluir todo el detalle necesario para la parte analizada;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f) Breve descripción de los riesgos inherentes al tipo de operación, asumidos por cada parte interviniente en la operación bajo estudio, o distribuidos entre ellos, entre otros identificando los riesgos comerciales, de inventarios, financieros y de pérdidas asociadas a la inversión en propiedad, planta y equipo y a su uso; los derivados del éxito o fracaso de las inversiones en investigación y desarrollo; los asociados a la inestabilidad de las tasas de cambio e interés y los riesgos crediticios. Este análisis debe presentarse para todos los riesgos sean o no susceptibles de valoración y/o cuantificación contable.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La descripción de que trata este literal deberá incluir todo el detalle necesario para la parte analizada;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g) Identificar y describir, en el caso de existir, las estrategias relacionadas con la cobertura de riesgos, siempre y cuando afecten las operaciones bajo estudio, bien sea por la partes intervinientes o por cualquier miembro, del grupo del cual se es parte;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h) En el caso de las retribuciones por compensación, la información que describa los pormenores del tipo de operación y de la evaluación de los beneficios, contraprestación o costos que cuantifiquen la compensación.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Para el efecto, existe compensación cuando en una operación con un vinculado del exterior, o con vinculados ubicados en zonas francas, o con personas, sociedades, entidades o empresas ubicadas, residentes o domiciliadas en paraísos fiscales, se provee un beneficio o contraprestación a la contraparte, según se trate, y este se retribuye con otro beneficio o contraprestación por la contraparte;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i) Estructura organizacional y funcional de la empresa, de sus departamentos y/o divisiones, con la descripción de las actividades que realizan y su correspondiente organigrama;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j) Cualquier otra información relacionada con el análisis funcional que se considere relevante por parte del contribuyente.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3. </w:t>
      </w:r>
      <w:r w:rsidRPr="00CF2C96">
        <w:rPr>
          <w:rFonts w:ascii="Segoe UI" w:eastAsia="Times New Roman" w:hAnsi="Segoe UI" w:cs="Segoe UI"/>
          <w:b/>
          <w:bCs/>
          <w:szCs w:val="24"/>
          <w:lang w:eastAsia="es-CO"/>
        </w:rPr>
        <w:t>Análisis del Mercado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Solo en la medida en que sea relevante para evaluar las condiciones de plena competencia de las operaciones realizadas por el contribuyente y que por ello resulten conducentes a los fines de precios de transferencia, el acápite correspondiente al análisis de mercado deberá contener: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Descripción general de la industria o sector o actividad económica, comportamiento y evolución, ubicación de la empresa en el mismo, señalando aspectos como situación de competencia, porcentaje de participación en el mercado y condiciones sociales, comportamiento de oferta y demanda, situación económica, geográfica y política que influyan en la actividad de la empresa, marco legal específico, cambios políticos, modificaciones normativas u otros factores institucionales que incidan en los tipos de operación;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Descripción de bienes o servicios sustitutos;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En los casos de situaciones especiales y solo en la medida en que hayan afectado las operaciones objeto del estudio de precios de transferencia, deberán describir la forma en que estas incidieron y conservarse a disposición de la Administración Tributaria para cuando esta lo solicite, los estudios financieros y de mercado, presupuestos, proyecciones, reportes financieros por líneas de productos o segmentos de mercado o negocios que se hubiesen elaborado para el ejercicio gravable bajo estudio;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 Describir, si es el caso: la existencia de ciclos de negocios, sean estos económicos, comerciales o del producto y la forma como los mismos afectan las operaciones bajo análisis;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e) Cualquier otra información relacionada con el análisis de mercado que se considere relevante por parte del contribuyente.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4. </w:t>
      </w:r>
      <w:r w:rsidRPr="00CF2C96">
        <w:rPr>
          <w:rFonts w:ascii="Segoe UI" w:eastAsia="Times New Roman" w:hAnsi="Segoe UI" w:cs="Segoe UI"/>
          <w:b/>
          <w:bCs/>
          <w:szCs w:val="24"/>
          <w:lang w:eastAsia="es-CO"/>
        </w:rPr>
        <w:t>Análisis Económico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El acápite correspondiente al análisis económico deberá contener: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Descripción detallada de cada uno de los tipos de operación llevados a cabo en el período gravable objeto de estudio, indicando para cada vinculado del exterior, o vinculado ubicado en zona franca, o personas, sociedades, entidades o empresas ubicadas, residentes o domiciliadas en paraísos fiscales, el nombre o razón social, número de identificación tributaria o fiscal, domicilio y/o residencia fiscal.</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En el caso de operaciones de financiamiento y para efectos de comparabilidad deberá allegarse al estudio la información que permita verificar entre otros, el monto del principal, plazo, calificación del riesgo, solvencia del deudor y tasa de interés pactada;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Método utilizado por el contribuyente para la determinación de los precios o márgenes de utilidad en las operaciones detalladas en el literal anterior, con indicación del criterio y elementos objetivos considerados para concluir que el método utilizado es el más apropiado de acuerdo con las características de los tipos de operación analizados.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Para determinar que el método utilizado es el más apropiado, se deben utilizar los criterios que se anuncian a continuación: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i) Los hechos y circunstancias de las transacciones controladas o analizadas, con base en un análisis funcional detallado;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ii) La disponibilidad de información confiable, particularmente de operaciones entre terceros independientes, necesaria para la aplicación del método;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iii) El grado de comparabilidad de las operaciones controladas frente a las independientes, y</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iv) La confiabilidad de los ajustes de comparabilidad que puedan ser necesarios para eliminar las diferencias materiales entre las operaciones entre vinculados frente a las independientes.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Cuando se trate de operaciones de adquisición de activos usados realizadas por los contribuyentes del impuesto sobre la renta y complementarios a sus vinculados del exterior, vinculados ubicados en zonas francas, o personas, sociedades, entidades o empresas ubicadas, residentes o domiciliadas en paraísos fiscales, la aplicación del método de Precio Comparable no Controlado será mediante la presentación de la factura de adquisición del activo nuevo al momento de su compra a un tercero independiente y la aplicación posterior de la depreciación que ya se ha amortizado desde la adquisición del activo, permitida de acuerdo con los principios de contabilidad generalmente aceptados en Colombia. Sin perjuicio de lo anterior y solo en el caso de que el respectivo activo hubiese sido enajenado en un estado diferente al de su adquisición, salvo el deterioro normal por el paso del tiempo o su uso, o no se cuente con la factura del tercero, o se trate de un bien </w:t>
      </w:r>
      <w:r w:rsidRPr="00CF2C96">
        <w:rPr>
          <w:rFonts w:ascii="Segoe UI" w:eastAsia="Times New Roman" w:hAnsi="Segoe UI" w:cs="Segoe UI"/>
          <w:szCs w:val="24"/>
          <w:lang w:eastAsia="es-CO"/>
        </w:rPr>
        <w:lastRenderedPageBreak/>
        <w:t xml:space="preserve">construido o ensamblado a partir de varios componentes y con ello varias facturas, se podrá a los efectos de que trata este literal, en concordancia con lo señalado en el </w:t>
      </w:r>
      <w:hyperlink r:id="rId57" w:tooltip="Estatuto Tributario CETA" w:history="1">
        <w:r w:rsidRPr="00CF2C96">
          <w:rPr>
            <w:rFonts w:ascii="Segoe UI" w:eastAsia="Times New Roman" w:hAnsi="Segoe UI" w:cs="Segoe UI"/>
            <w:color w:val="0089E1"/>
            <w:szCs w:val="24"/>
            <w:lang w:eastAsia="es-CO"/>
          </w:rPr>
          <w:t>artículo 260-3</w:t>
        </w:r>
      </w:hyperlink>
      <w:r w:rsidRPr="00CF2C96">
        <w:rPr>
          <w:rFonts w:ascii="Segoe UI" w:eastAsia="Times New Roman" w:hAnsi="Segoe UI" w:cs="Segoe UI"/>
          <w:szCs w:val="24"/>
          <w:lang w:eastAsia="es-CO"/>
        </w:rPr>
        <w:t xml:space="preserve"> del Estatuto Tributario, acudir a un avalúo técnico realizado por un experto que sea un tercero independiente no vinculado laboralmente a la compañía, en el que se consignen detalladamente las características, alcance y demás condiciones que se tuvieron en cuenta para su valuación;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Cuando se haya seleccionado el Método de Márgenes Transaccionales para determinar el margen de utilidad en las operaciones con vinculados, se deberá describir el indicador de rentabilidad seleccionado, el cual debe estar acorde con el tipo de actividad y demás hechos y circunstancias del caso, la naturaleza del tipo de operación analizada y la disponibilidad y calidad de la información obtenida.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Para tal efecto se deberán utilizar indicadores de rentabilidad como: margen bruto, margen operacional, margen sobre costos y gastos, rendimientos sobre activos, retorno sobre patrimonio y Razón Berry entendida como “Utilidad bruta dividida entre los gastos de administración más los gastos de comercialización”, entre otros.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En la determinación del indicador de rentabilidad deben tenerse en cuenta solo los elementos que estén directa o indirectamente relacionados con la operación bajo análisis y se relacionen con la explotación de la actividad económica que se realiza;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 Parte analizada. La parte objeto de análisis debe ser aquella respecto de la cual pueda aplicarse el método para determinar el margen de utilidad en las operaciones con vinculados con más fiabilidad, y para la cual la calidad de los comparables sea más óptima y su análisis funcional resulte menos complejo.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Cuando se haya seleccionado el Método de Precio de Reventa, el del Costo Adicionado o el de Márgenes Transaccionales de Utilidad de Operación, según se trate, para determinar que las operaciones entre el contribuyente del impuesto sobre la renta y complementarios con sus vinculados del exterior, vinculados ubicados en zonas francas, o personas, sociedades, entidades o empresas ubicadas, residentes o domiciliadas en paraísos fiscales cumplen con las condiciones que se hubieren utilizado en operaciones comparables con o entre partes independientes, la parte a analizar debe ser el contribuyente en Colombia respecto de quien se va a establecer si cumplió con el Principio de Plena Competencia; sin embargo, se podrá analizar a la contraparte con quien se llevaron a cabo las operaciones bajo estudio y ello dependerá de si respecto de dicha parte, sus funciones resultan menos complejas, se cuenta con una mayor y mejor información y se requiere un menor nivel de ajustes. Además, se deberá tener en cuenta si la parte a analizar posee intangibles o activos de una significancia tal que conviertan a la parte bajo análisis en una empresa de no fácil comparación, todo lo cual deberá ser debidamente soportado y en todo caso, el análisis funcional, de mercado y económico deberán corresponder a la parte seleccionada para el correspondiente análisis como la parte analizada.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Sin perjuicio de lo señalado en el inciso segundo de este literal, cuando se haya seleccionado el Método de Precio de Reventa, el del Costo adicionado o el de </w:t>
      </w:r>
      <w:r w:rsidRPr="00CF2C96">
        <w:rPr>
          <w:rFonts w:ascii="Segoe UI" w:eastAsia="Times New Roman" w:hAnsi="Segoe UI" w:cs="Segoe UI"/>
          <w:szCs w:val="24"/>
          <w:lang w:eastAsia="es-CO"/>
        </w:rPr>
        <w:lastRenderedPageBreak/>
        <w:t xml:space="preserve">Márgenes Transaccionales de Utilidad de Operación, según se trate, para determinar que las operaciones entre el contribuyente del impuesto sobre la renta y complementarios con sus vinculados del exterior, vinculados ubicados en zonas francas, o personas, sociedades, entidades o empresas ubicadas, residentes o domiciliadas en paraísos fiscales cumplen con las condiciones que se hubieren utilizado en operaciones comparables con o entre partes independientes y la parte a analizar sea la del extranjero, se debe </w:t>
      </w:r>
      <w:proofErr w:type="spellStart"/>
      <w:r w:rsidRPr="00CF2C96">
        <w:rPr>
          <w:rFonts w:ascii="Segoe UI" w:eastAsia="Times New Roman" w:hAnsi="Segoe UI" w:cs="Segoe UI"/>
          <w:szCs w:val="24"/>
          <w:lang w:eastAsia="es-CO"/>
        </w:rPr>
        <w:t>allegar</w:t>
      </w:r>
      <w:proofErr w:type="spellEnd"/>
      <w:r w:rsidRPr="00CF2C96">
        <w:rPr>
          <w:rFonts w:ascii="Segoe UI" w:eastAsia="Times New Roman" w:hAnsi="Segoe UI" w:cs="Segoe UI"/>
          <w:szCs w:val="24"/>
          <w:lang w:eastAsia="es-CO"/>
        </w:rPr>
        <w:t xml:space="preserve"> a la documentación comprobatoria toda la información adicional que resulte necesaria para que se pueda constatar la correcta aplicación del método a dicha parte.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Con independencia de cuál sea la parte a analizar, a la documentación comprobatoria se deberán allegar los documentos, análisis y demás elementos probatorios que resulten suficientes para demostrar que las operaciones entre el contribuyente del impuesto sobre la renta y complementarios con sus vinculados del exterior, vinculados ubicados en zonas francas, o personas, sociedades, entidades o empresas ubicadas, residentes o domiciliadas en paraísos fiscales cumplen con las condiciones que se hubieren utilizado en operaciones comparables con o entre partes independientes. Lo anterior, sin perjuicio de las verificaciones e información que requiera o solicite la Administración Tributaria en relación a la parte analizada utilizada en tanto resulte conducente a efectos de probar el cumplimiento del Principio de Plena Competencia por parte de esta;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e) Detalle de los comparables seleccionados. La documentación e información a preparar y remitir por cada tipo de operación o empresa comparable, deberá tener el nivel de detalle requerido para demostrar la aplicación de los criterios de comparabilidad de que trata el </w:t>
      </w:r>
      <w:hyperlink r:id="rId58" w:tooltip="Estatuto Tributario CETA" w:history="1">
        <w:r w:rsidRPr="00CF2C96">
          <w:rPr>
            <w:rFonts w:ascii="Segoe UI" w:eastAsia="Times New Roman" w:hAnsi="Segoe UI" w:cs="Segoe UI"/>
            <w:color w:val="0089E1"/>
            <w:szCs w:val="24"/>
            <w:lang w:eastAsia="es-CO"/>
          </w:rPr>
          <w:t>artículo 260-4</w:t>
        </w:r>
      </w:hyperlink>
      <w:r w:rsidRPr="00CF2C96">
        <w:rPr>
          <w:rFonts w:ascii="Segoe UI" w:eastAsia="Times New Roman" w:hAnsi="Segoe UI" w:cs="Segoe UI"/>
          <w:szCs w:val="24"/>
          <w:lang w:eastAsia="es-CO"/>
        </w:rPr>
        <w:t xml:space="preserve"> del Estatuto Tributario, para lo cual se identificarán cada uno de los comparables seleccionados, la metodología utilizada para su determinación, las fuentes de información de las que se obtuvieron esos comparables y la fecha de consulta a las mismas, así como la indicación de los comparables seleccionados que se desecharon, señalando los motivos que se tuvieron en consideración para ello.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La información correspondiente al contribuyente bajo análisis siempre deberá corresponder a la del año bajo análisis. Solo en casos excepcionales se podrán utilizar datos de más de un período, siempre y cuando se incluyan en la documentación comprobatoria las razones económicas, financieras, técnicas o de otra índole que resulten pertinentes y conducentes a los fines del estudio y se encuentren debidamente justificadas.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Para estos efectos, deberán ser utilizados datos que correspondan al mismo año gravable, o en su defecto de los períodos inmediatamente anteriores, o proyecciones en el caso de nuevas compañías o compañías que hayan tenido cambios significativos en sus funciones, activos y riesgos, durante el año gravable objeto de análisis, con el fin de determinar, entre otras circunstancias, el origen de las pérdidas declaradas, el ciclo de vida del producto, los negocios relevantes, los ciclos de vida de productos comparables, las condiciones económicas comparables, los criterios y métodos de distribución de costos y/o gastos, de conformidad con el manejo técnico contable para la asignación de los mismos, las cláusulas contractuales y condiciones reales que operan entre las partes, </w:t>
      </w:r>
      <w:r w:rsidRPr="00CF2C96">
        <w:rPr>
          <w:rFonts w:ascii="Segoe UI" w:eastAsia="Times New Roman" w:hAnsi="Segoe UI" w:cs="Segoe UI"/>
          <w:szCs w:val="24"/>
          <w:lang w:eastAsia="es-CO"/>
        </w:rPr>
        <w:lastRenderedPageBreak/>
        <w:t>aportando en la documentación comprobatoria los hechos, circunstancias y demás análisis que justifiquen tal decisión.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Respecto de la información financiera de las comparables, se deberá llevar a cabo el análisis con información correspondiente al período gravable objeto de estudio. De no contarse con dicha información, se podrá tomar en consideración información correspondiente a ejercicios anteriores al ejercicio gravable para el cual se realiza la búsqueda y el correspondiente análisis. Para ello en la documentación comprobatoria debe dejarse explícito el día, mes y año en el cual se llevó a cabo el análisis así como la fecha de actualización de la base de datos utilizada. De ser necesario para el análisis contar con varios períodos, se deberán aportar a la documentación comprobatoria todos los análisis y explicaciones que resulten necesarios para justificar debidamente la necesidad de dicha información;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f) Descripción de las políticas de precios de transferencia llevadas a cabo a nivel mundial por el grupo al cual se pertenece o por parte del vinculado con el cual se tiene operaciones, en tanto afecten la operación bajo análisis;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g) Uso de comparables internos. En caso de existir comparables internos, estos deberán ser tenidos en cuenta de manera prioritaria en el análisis de los precios de transferencia, en la medida que no existan diferencias significativas entre las operaciones comparables o que en el caso de existir, las mismas no afecten las condiciones analizadas, o que dado el caso se puedan realizar ajustes técnicos, económicos o contables que permitan su eliminación y optimicen la comparación. Para tal efecto deberán tenerse en cuenta, las características de los bienes o de los servicios, las funciones o actividades económicas, teniendo en cuenta los activos y riesgos asumidos, los términos contractuales, las circunstancias económicas y las estrategias de negocio;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h) Descripción de la actividad económica o empresarial y características del negocio desarrolladas por los comparables seleccionados;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i) Establecimiento del rango de plena competencia y de la mediana;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j) Descripción de los ajustes técnicos, económicos o contables realizados a los tipos de operación o empresas comparables seleccionadas.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Para tales efectos deberá tenerse en cuenta que una operación vinculada es comparable a una operación no vinculada, si ninguna de las diferencias, si las hubiera, entre las dos operaciones que se comparan, o entre las dos empresas que llevan a cabo esas operaciones, influye significativamente en el valor normal de mercado, o que en el caso de existir, pueden realizarse ajustes lo suficientemente razonables y precisos de manera tal que puedan eliminar los efectos importantes que estas provoquen.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Los ajustes deberán considerarse solo en la medida en que las diferencias afecten de una manera real la comparación y en la medida en que mejoren la fiabilidad de los resultados y por ende la comparabilidad. Para ello deben tenerse en cuenta la calidad de los datos sometidos al ajuste, su objeto y la fiabilidad de los criterios utilizados para realizar tales ajustes.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De manera excepcional y solo en el caso de requerirse ajustes a la parte bajo análisis, deberán incluirse el detalle y la justificación técnica, económica o legal que sustenten tales ajustes, incluyendo un análisis pormenorizado de su cuantificación.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Deberán incorporarse a la documentación comprobatoria los documentos que soporten los análisis, fórmulas y cálculos efectuados por el contribuyente para tal efecto, las razones que llevaron a considerarlos como apropiados y la forma en que el ajuste modifica los resultados para cada comparable y mejora la comparabilidad. Igualmente y de conformidad con el método utilizado, y solo cuando hayan tenido incidencia en el tipo de operación bajo análisis, se deberá hacer una descripción genérica de las principales diferencias existentes en las prácticas contables de Colombia y las de los países en donde se localizan los comparables seleccionados o los vinculados económicos con los cuales se celebraron operaciones;</w:t>
      </w:r>
    </w:p>
    <w:p w:rsidR="00CF2C96" w:rsidRPr="00CF2C96" w:rsidRDefault="00CF2C96" w:rsidP="00CF2C96">
      <w:pPr>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k) Estados de resultados de las empresas comparables indicando fuente y fecha de obtención de dicha información;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1) (Sic) Cualquier otra información relacionada con el análisis económico que se considere relevante por parte del contribuyente, para la determinación de las condiciones utilizadas en operaciones comparables con o entre partes independientes;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m) Conclusiones detalladas sobre la conformidad o no de los precios o márgenes de utilidad de los tipos de operación con el Principio de Plena Competencia y demás normas que regulan el régimen de precios de transferencia.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 1°.</w:t>
      </w:r>
      <w:r w:rsidRPr="00CF2C96">
        <w:rPr>
          <w:rFonts w:ascii="Segoe UI" w:eastAsia="Times New Roman" w:hAnsi="Segoe UI" w:cs="Segoe UI"/>
          <w:szCs w:val="24"/>
          <w:lang w:eastAsia="es-CO"/>
        </w:rPr>
        <w:t xml:space="preserve"> Cuando los contribuyentes del impuesto sobre la renta y complementarios celebren operaciones con personas, sociedades, entidades o empresas ubicadas, residentes o domiciliadas en paraísos fiscales, la documentación comprobatoria deberá contener los estudios, documentos y demás soportes con los cuales el contribuyente demuestre que sus ingresos, costos, deducciones, activos y pasivos adquiridos en el respectivo año gravable, relativos a las operaciones fueron determinados considerando para esas operaciones el Principio de Plena Competencia, entendido como aquel en el cual las operaciones entre vinculados cumplen con las condiciones que se hubiesen observado en operaciones comparables con o entre partes independientes.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Cuando los contribuyentes del impuesto sobre la renta y complementarios celebren operaciones que resulten en pagos a favor de personas, sociedades, entidades o empresas ubicadas, residentes o domiciliadas en un paraíso fiscal, dichos contribuyentes deberán documentar y demostrar el detalle de las funciones realizadas, activos empleados, riesgos asumidos y la totalidad de los costos y gastos incurridos por la persona, sociedad, entidad o empresa ubicada, residente o domiciliada en el paraíso fiscal para la realización de las actividades que generaron las operaciones llevadas a cabo, so pena de que dichas operaciones sean tratadas como no constitutivas ni de costo ni deducción en el impuesto sobre la renta y complementarios del correspondiente período.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Lo preceptuado en el parágrafo tercero del </w:t>
      </w:r>
      <w:hyperlink r:id="rId59" w:tooltip="Estatuto Tributario CETA" w:history="1">
        <w:r w:rsidRPr="00CF2C96">
          <w:rPr>
            <w:rFonts w:ascii="Segoe UI" w:eastAsia="Times New Roman" w:hAnsi="Segoe UI" w:cs="Segoe UI"/>
            <w:color w:val="0089E1"/>
            <w:szCs w:val="24"/>
            <w:lang w:eastAsia="es-CO"/>
          </w:rPr>
          <w:t>artículo 260-7</w:t>
        </w:r>
      </w:hyperlink>
      <w:r w:rsidRPr="00CF2C96">
        <w:rPr>
          <w:rFonts w:ascii="Segoe UI" w:eastAsia="Times New Roman" w:hAnsi="Segoe UI" w:cs="Segoe UI"/>
          <w:szCs w:val="24"/>
          <w:lang w:eastAsia="es-CO"/>
        </w:rPr>
        <w:t xml:space="preserve"> del Estatuto Tributario en concordancia con el inciso anterior no será aplicable, cuando el contribuyente </w:t>
      </w:r>
      <w:r w:rsidRPr="00CF2C96">
        <w:rPr>
          <w:rFonts w:ascii="Segoe UI" w:eastAsia="Times New Roman" w:hAnsi="Segoe UI" w:cs="Segoe UI"/>
          <w:szCs w:val="24"/>
          <w:lang w:eastAsia="es-CO"/>
        </w:rPr>
        <w:lastRenderedPageBreak/>
        <w:t xml:space="preserve">demuestre que no se trata de operaciones celebradas con vinculados en los términos del </w:t>
      </w:r>
      <w:hyperlink r:id="rId60" w:tooltip="Estatuto Tributario CETA" w:history="1">
        <w:r w:rsidRPr="00CF2C96">
          <w:rPr>
            <w:rFonts w:ascii="Segoe UI" w:eastAsia="Times New Roman" w:hAnsi="Segoe UI" w:cs="Segoe UI"/>
            <w:color w:val="0089E1"/>
            <w:szCs w:val="24"/>
            <w:lang w:eastAsia="es-CO"/>
          </w:rPr>
          <w:t>artículo 260-1</w:t>
        </w:r>
      </w:hyperlink>
      <w:r w:rsidRPr="00CF2C96">
        <w:rPr>
          <w:rFonts w:ascii="Segoe UI" w:eastAsia="Times New Roman" w:hAnsi="Segoe UI" w:cs="Segoe UI"/>
          <w:szCs w:val="24"/>
          <w:lang w:eastAsia="es-CO"/>
        </w:rPr>
        <w:t xml:space="preserve"> del Estatuto Tributario, allegando a la documentación comprobatoria las pruebas que considere pertinentes.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 2°.</w:t>
      </w:r>
      <w:r w:rsidRPr="00CF2C96">
        <w:rPr>
          <w:rFonts w:ascii="Segoe UI" w:eastAsia="Times New Roman" w:hAnsi="Segoe UI" w:cs="Segoe UI"/>
          <w:szCs w:val="24"/>
          <w:lang w:eastAsia="es-CO"/>
        </w:rPr>
        <w:t xml:space="preserve"> La documentación comprobatoria deberá prepararse en idioma Castellano, sin perjuicio de que la Dirección de Impuestos y Aduanas Nacionales solicite que los documentos extendidos en idioma distinto que se encuentren incorporados en la misma, se alleguen con su correspondiente traducción oficial efectuada por el Ministerio de Relaciones Exteriores o por un intérprete oficial, dentro de los veinte (20) días hábiles siguientes a su solicitud.</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 3°.</w:t>
      </w:r>
      <w:r w:rsidRPr="00CF2C96">
        <w:rPr>
          <w:rFonts w:ascii="Segoe UI" w:eastAsia="Times New Roman" w:hAnsi="Segoe UI" w:cs="Segoe UI"/>
          <w:szCs w:val="24"/>
          <w:lang w:eastAsia="es-CO"/>
        </w:rPr>
        <w:t xml:space="preserve"> La documentación comprobatoria deberá estar acompañada de la siguiente información: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1. Estados financieros comparativos a 31 de diciembre del año en estudio, preparados con base en los principios de contabilidad generalmente aceptados en Colombia.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Estados financieros de propósito general básicos: Balance general, Estado de resultados, Estado de cambios en el patrimonio, Estado de cambios en la situación financiera, Estado de flujos de efectivo y Estados financieros consolidados cuando la matriz o controlante se encuentre en Colombia;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Los siguientes Estados financieros de propósito especial: Balance general, Estado de resultados, Estado de costos de producción y de costo de ventas para los bienes y servicios, desagregados o segmentados por tipo de operación cuando a ello haya lugar.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2. Copia de los contratos, acuerdos o convenios celebrados por el contribuyente con sus vinculados en el exterior, en zonas francas y/o con personas, sociedades, entidades o empresas ubicadas, residentes o domiciliadas en paraísos fiscales, en tanto que los mismos hayan afectado los tipos de operación objeto de estudio, la rentabilidad de la compañía o las condiciones que se hubiesen dado en operaciones comparables con o entre partes independientes.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3. Contratos sobre transferencia de acciones, aumentos o disminuciones de capital, readquisición de acciones, fusión, escisión y otros cambios societarios relevantes, ocurridos en el año gravable objeto del estudio de precios de transferencia en tanto que los mismos hayan afectado los tipos de operación objeto de estudio, la rentabilidad de la compañía o las condiciones que se hubiesen dado en operaciones comparables con o entre partes independientes.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 4°.</w:t>
      </w:r>
      <w:r w:rsidRPr="00CF2C96">
        <w:rPr>
          <w:rFonts w:ascii="Segoe UI" w:eastAsia="Times New Roman" w:hAnsi="Segoe UI" w:cs="Segoe UI"/>
          <w:szCs w:val="24"/>
          <w:lang w:eastAsia="es-CO"/>
        </w:rPr>
        <w:t xml:space="preserve"> A los efectos de lo previsto en el inciso 3° del </w:t>
      </w:r>
      <w:hyperlink r:id="rId61" w:tooltip="Estatuto Tributario CETA" w:history="1">
        <w:r w:rsidRPr="00CF2C96">
          <w:rPr>
            <w:rFonts w:ascii="Segoe UI" w:eastAsia="Times New Roman" w:hAnsi="Segoe UI" w:cs="Segoe UI"/>
            <w:color w:val="0089E1"/>
            <w:szCs w:val="24"/>
            <w:lang w:eastAsia="es-CO"/>
          </w:rPr>
          <w:t>artículo 260-5</w:t>
        </w:r>
      </w:hyperlink>
      <w:r w:rsidRPr="00CF2C96">
        <w:rPr>
          <w:rFonts w:ascii="Segoe UI" w:eastAsia="Times New Roman" w:hAnsi="Segoe UI" w:cs="Segoe UI"/>
          <w:szCs w:val="24"/>
          <w:lang w:eastAsia="es-CO"/>
        </w:rPr>
        <w:t xml:space="preserve"> del Estatuto Tributario, cuando sea necesaria la segmentación de los estados financieros por tipo de operación para los efectos de comparabilidad entre las operaciones vinculadas y no vinculadas y la correcta aplicación del método para evaluar tales operaciones, la información financiera y contable que se utilice deberá ser preparada de conformidad con los principios de contabilidad generalmente aceptados en Colombia y deberá ser allegada a la correspondiente documentación comprobatoria dictaminada y/o certificada por Revisor Fiscal.</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En caso de que el contribuyente del impuesto sobre la renta y complementarios no esté obligado a tener Revisor Fiscal, la certificación de que trata este parágrafo podrá ser suscrita por contador público.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Así mismo, cuando la parte analizada sea la del exterior, para efectos del cumplimiento de este requisito, dicha certificación podrá ser suscrita por el equivalente de uno u otro, o un auditor externo y anexarse a la documentación comprobatoria.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Se deberán conservar a disposición de la Administración Tributaria las hojas de trabajo y los soportes en donde se indique la forma como se llevó a cabo la respectiva segmentación, la razonabilidad de la misma, así como los procedimientos técnicos, económicos y financieros mediante los cuales se realizó la asignación de costos y gastos. Lo anterior deberá ser allegado cuando la Administración Tributaria así lo solicite.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5°.</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Servicios </w:t>
      </w:r>
      <w:proofErr w:type="spellStart"/>
      <w:r w:rsidRPr="00CF2C96">
        <w:rPr>
          <w:rFonts w:ascii="Segoe UI" w:eastAsia="Times New Roman" w:hAnsi="Segoe UI" w:cs="Segoe UI"/>
          <w:i/>
          <w:iCs/>
          <w:szCs w:val="24"/>
          <w:lang w:eastAsia="es-CO"/>
        </w:rPr>
        <w:t>intragrupo</w:t>
      </w:r>
      <w:proofErr w:type="spellEnd"/>
      <w:r w:rsidRPr="00CF2C96">
        <w:rPr>
          <w:rFonts w:ascii="Segoe UI" w:eastAsia="Times New Roman" w:hAnsi="Segoe UI" w:cs="Segoe UI"/>
          <w:i/>
          <w:iCs/>
          <w:szCs w:val="24"/>
          <w:lang w:eastAsia="es-CO"/>
        </w:rPr>
        <w:t xml:space="preserve">. </w:t>
      </w:r>
      <w:r w:rsidRPr="00CF2C96">
        <w:rPr>
          <w:rFonts w:ascii="Segoe UI" w:eastAsia="Times New Roman" w:hAnsi="Segoe UI" w:cs="Segoe UI"/>
          <w:szCs w:val="24"/>
          <w:lang w:eastAsia="es-CO"/>
        </w:rPr>
        <w:t xml:space="preserve">Sin perjuicio de los requisitos, limitantes y prohibiciones respecto de los costos y deducciones contenidos en el Estatuto Tributario, en el caso de los servicios </w:t>
      </w:r>
      <w:proofErr w:type="spellStart"/>
      <w:r w:rsidRPr="00CF2C96">
        <w:rPr>
          <w:rFonts w:ascii="Segoe UI" w:eastAsia="Times New Roman" w:hAnsi="Segoe UI" w:cs="Segoe UI"/>
          <w:szCs w:val="24"/>
          <w:lang w:eastAsia="es-CO"/>
        </w:rPr>
        <w:t>intragrupo</w:t>
      </w:r>
      <w:proofErr w:type="spellEnd"/>
      <w:r w:rsidRPr="00CF2C96">
        <w:rPr>
          <w:rFonts w:ascii="Segoe UI" w:eastAsia="Times New Roman" w:hAnsi="Segoe UI" w:cs="Segoe UI"/>
          <w:szCs w:val="24"/>
          <w:lang w:eastAsia="es-CO"/>
        </w:rPr>
        <w:t xml:space="preserve"> prestados entre el contribuyente del impuesto sobre la renta y complementarios y sus vinculados del exterior, vinculados ubicados en zonas francas, o personas, sociedades, entidades o empresas ubicadas, residentes o domiciliadas en paraísos fiscales, el contribuyente debe demostrar la prestación real del mismo y que el valor pagado o causado por dicho servicio, constitutivo de costo o gasto en el impuesto sobre la renta y complementarios, se encuentra cumpliendo con el Principio de Plena Competencia.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De conformidad con lo establecido en el parágrafo 2° del </w:t>
      </w:r>
      <w:hyperlink r:id="rId62" w:tooltip="Estatuto Tributario CETA" w:history="1">
        <w:r w:rsidRPr="00CF2C96">
          <w:rPr>
            <w:rFonts w:ascii="Segoe UI" w:eastAsia="Times New Roman" w:hAnsi="Segoe UI" w:cs="Segoe UI"/>
            <w:color w:val="0089E1"/>
            <w:szCs w:val="24"/>
            <w:lang w:eastAsia="es-CO"/>
          </w:rPr>
          <w:t>artículo 260-3</w:t>
        </w:r>
      </w:hyperlink>
      <w:r w:rsidRPr="00CF2C96">
        <w:rPr>
          <w:rFonts w:ascii="Segoe UI" w:eastAsia="Times New Roman" w:hAnsi="Segoe UI" w:cs="Segoe UI"/>
          <w:szCs w:val="24"/>
          <w:lang w:eastAsia="es-CO"/>
        </w:rPr>
        <w:t xml:space="preserve"> del Estatuto Tributario y sin perjuicio de lo señalado en artículo 4° de este decreto, el contribuyente del impuesto sobre la renta y complementarios deberá:</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Detallar en la documentación comprobatoria cómo o en qué forma, la actividad de servicios llevada a cabo supone un beneficio económico o comercial para el receptor, que refuerza así su posición comercial, observando en todo caso si en circunstancias comparables, un independiente hubiera satisfecho la necesidad identificada, ejerciendo el mismo la actividad o bien recurriendo a un tercero, así como la forma que adoptaría la remuneración en condiciones de plena competencia si la operación hubiera ocurrido entre empresas independientes que operaran en el mercado libre, considerando tanto el punto de vista del proveedor del servicio como el del beneficiario. A estos efectos, los factores relevantes comprenden el valor del servicio para el destinatario y el monto que un independiente comparable hubiera estado dispuesto a pagar por ese servicio en circunstancias comparables, así como los costos incurridos por el proveedor del servicio;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b) Precisar en la documentación comprobatoria, si el monto de la contraprestación por cada una de las operaciones </w:t>
      </w:r>
      <w:proofErr w:type="spellStart"/>
      <w:r w:rsidRPr="00CF2C96">
        <w:rPr>
          <w:rFonts w:ascii="Segoe UI" w:eastAsia="Times New Roman" w:hAnsi="Segoe UI" w:cs="Segoe UI"/>
          <w:szCs w:val="24"/>
          <w:lang w:eastAsia="es-CO"/>
        </w:rPr>
        <w:t>intragrupo</w:t>
      </w:r>
      <w:proofErr w:type="spellEnd"/>
      <w:r w:rsidRPr="00CF2C96">
        <w:rPr>
          <w:rFonts w:ascii="Segoe UI" w:eastAsia="Times New Roman" w:hAnsi="Segoe UI" w:cs="Segoe UI"/>
          <w:szCs w:val="24"/>
          <w:lang w:eastAsia="es-CO"/>
        </w:rPr>
        <w:t xml:space="preserve"> realizadas se ajusta al Principio de Plena Competencia, identificando los acuerdos, formas o métodos acordados entre las partes que permitieron la facturación del respectivo servicio;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c) En el caso que la contraprestación de los servicios prestados entre vinculados se haya incluido en el precio de otras operaciones, se deberá demostrar que no se facturó ningún costo o gasto adicional por concepto de tales servicios, en cuyo caso la información que resulte pertinente y conducente deberá estar a disposición de la Administración Tributaria cuando esta así lo solicite;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 En el caso de que se haya pactado dentro de los términos de la prestación de los servicios una cuantía determinada para su utilización y consecuente facturación, deberá documentarse el uso efectivo de esos servicios.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6°.</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Acuerdos de Costos Compartidos. </w:t>
      </w:r>
      <w:r w:rsidRPr="00CF2C96">
        <w:rPr>
          <w:rFonts w:ascii="Segoe UI" w:eastAsia="Times New Roman" w:hAnsi="Segoe UI" w:cs="Segoe UI"/>
          <w:szCs w:val="24"/>
          <w:lang w:eastAsia="es-CO"/>
        </w:rPr>
        <w:t xml:space="preserve">Para los efectos de este artículo, un Acuerdo de Costos Compartidos es un acuerdo marco que permite a las empresas repartirse los costos y los riesgos de desarrollar, producir u obtener activos, servicios o derechos y determinar la naturaleza y el alcance de los intereses de cada uno de los participantes en estos activos, servicios o derechos. Sin perjuicio de los requisitos, limitantes y prohibiciones respecto de los costos y deducciones contenidos en el Estatuto Tributario, los acuerdos de costos compartidos prestados entre vinculados deberán cumplir con el Principio de Plena Competencia, de conformidad con lo establecido en el parágrafo 2° del </w:t>
      </w:r>
      <w:hyperlink r:id="rId63" w:tooltip="Estatuto Tributario CETA" w:history="1">
        <w:r w:rsidRPr="00CF2C96">
          <w:rPr>
            <w:rFonts w:ascii="Segoe UI" w:eastAsia="Times New Roman" w:hAnsi="Segoe UI" w:cs="Segoe UI"/>
            <w:color w:val="0089E1"/>
            <w:szCs w:val="24"/>
            <w:lang w:eastAsia="es-CO"/>
          </w:rPr>
          <w:t>artículo 260-3</w:t>
        </w:r>
      </w:hyperlink>
      <w:r w:rsidRPr="00CF2C96">
        <w:rPr>
          <w:rFonts w:ascii="Segoe UI" w:eastAsia="Times New Roman" w:hAnsi="Segoe UI" w:cs="Segoe UI"/>
          <w:szCs w:val="24"/>
          <w:lang w:eastAsia="es-CO"/>
        </w:rPr>
        <w:t xml:space="preserve"> del Estatuto Tributario, es decir, que los aportes efectuados por cada participante se ajusten a los que un independiente aceptaría en circunstancias comparables, teniendo en cuenta los beneficios efectivos sobre los bienes o los servicios que cabe esperar obtener del acuerdo, y la posibilidad real de explotar o utilizar, directa o indirectamente, el derecho asignado. Para tales efectos el contribuyente del impuesto sobre la renta y complementarios deberá, sin perjuicio de lo señalado en el artículo 4° de este decreto, en la documentación comprobatoria: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Describir y demostrar los costos o gastos anuales incurridos para el desarrollo de la actividad del acuerdo de costos compartidos, la forma y el valor de las aportaciones que realiza cada participante durante la vigencia del mismo. Los respectivos soportes deberán estar a disposición de la Administración Tributaria cuando esta así lo solicite;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Identificar los beneficiaros directos y/o indirectos del acuerdo de costos compartidos, indicando nombre o razón social, número de identificación tributaria y país de residencia o domicilio;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Especificar la naturaleza y la importancia del beneficio efectivo de cada participante sobre los resultados de las actividades del acuerdo de costos compartidos, el ámbito de las actividades y proyectos específicos cubiertos, la duración del acuerdo y las obligaciones y responsabilidades derivadas del mismo;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 Indicar si se realizó algún pago distinto a las aportaciones relacionadas con el acuerdo de costos compartidos, que correspondan para la adquisición del beneficio efectivo sobre los activos, servicios o derechos obtenidos a través del mismo;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 Detallar el método de atribución, criterios, circunstancias y ajustes, si los hubo, que reflejen la cuota de participación y su cuantificación en los beneficios que se espera obtener del acuerdo, comparando las previsiones utilizadas para determinar los beneficios esperados frente a los resultados reales;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f) Detallar los procedimientos para la adhesión o retiro de un participante en el acuerdo de costos compartidos y sus consecuencias, así como los procedimientos y consecuencias en caso de su rescisión.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7°.</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Reestructuraciones empresariales. </w:t>
      </w:r>
      <w:r w:rsidRPr="00CF2C96">
        <w:rPr>
          <w:rFonts w:ascii="Segoe UI" w:eastAsia="Times New Roman" w:hAnsi="Segoe UI" w:cs="Segoe UI"/>
          <w:szCs w:val="24"/>
          <w:lang w:eastAsia="es-CO"/>
        </w:rPr>
        <w:t xml:space="preserve">Para efectos de la aplicación del parágrafo 3° del </w:t>
      </w:r>
      <w:hyperlink r:id="rId64" w:tooltip="Estatuto Tributario CETA" w:history="1">
        <w:r w:rsidRPr="00CF2C96">
          <w:rPr>
            <w:rFonts w:ascii="Segoe UI" w:eastAsia="Times New Roman" w:hAnsi="Segoe UI" w:cs="Segoe UI"/>
            <w:color w:val="0089E1"/>
            <w:szCs w:val="24"/>
            <w:lang w:eastAsia="es-CO"/>
          </w:rPr>
          <w:t>artículo 260-3</w:t>
        </w:r>
      </w:hyperlink>
      <w:r w:rsidRPr="00CF2C96">
        <w:rPr>
          <w:rFonts w:ascii="Segoe UI" w:eastAsia="Times New Roman" w:hAnsi="Segoe UI" w:cs="Segoe UI"/>
          <w:szCs w:val="24"/>
          <w:lang w:eastAsia="es-CO"/>
        </w:rPr>
        <w:t xml:space="preserve"> del Estatuto Tributario, la redistribución de funciones, activos y riesgos llevada a cabo entre los contribuyentes del impuesto sobre la renta y complementarios en Colombia y sus vinculados en el exterior deberá estar retribuida en cumplimiento del Principio de Plena Competencia. Para tales efectos el contribuyente del impuesto sobre la renta y complementarios deberá, sin perjuicio de lo señalado en el artículo 4° de este decreto, en la documentación comprobatoria: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Identificar el objeto de la reestructuración, operaciones, términos contractuales y forma como esta se llevó a cabo;</w:t>
      </w:r>
    </w:p>
    <w:p w:rsidR="00CF2C96" w:rsidRPr="00CF2C96" w:rsidRDefault="00CF2C96" w:rsidP="00CF2C96">
      <w:pPr>
        <w:spacing w:line="240" w:lineRule="auto"/>
        <w:rPr>
          <w:rFonts w:eastAsia="Times New Roman"/>
          <w:szCs w:val="24"/>
          <w:lang w:eastAsia="es-CO"/>
        </w:rPr>
      </w:pPr>
      <w:r w:rsidRPr="00CF2C96">
        <w:rPr>
          <w:rFonts w:ascii="Segoe UI" w:eastAsia="Times New Roman" w:hAnsi="Segoe UI" w:cs="Segoe UI"/>
          <w:szCs w:val="24"/>
          <w:lang w:eastAsia="es-CO"/>
        </w:rPr>
        <w:t>b) Identificar activos, funciones y riesgos antes y después del proceso de reestructuración;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Identificar los derechos y obligaciones, de acuerdo con la conducta de las partes y el marco legal y contractual que operaba antes de la reestructuración y los cambios producidos a partir de la misma, para las partes intervinientes;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 Detallar en forma pormenorizada la distribución de riesgos llevada a cabo entre las partes;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 Describir los beneficios potenciales para las partes, derivados de la transferencia de riesgos;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f) Identificar cuál de las partes intervinientes en la operación toma las decisiones tendientes a asumir el riesgo y su gestión;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g) Describir las sinergias esperadas de la reestructuración y los análisis económicos, financieros y de otra índole que se tuvieron en cuenta para tales previsiones;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h) Descripción de las compensaciones o retribuciones por la reestructuración y su cuantificación.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8°.</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Rango de Plena Competencia. </w:t>
      </w:r>
      <w:r w:rsidRPr="00CF2C96">
        <w:rPr>
          <w:rFonts w:ascii="Segoe UI" w:eastAsia="Times New Roman" w:hAnsi="Segoe UI" w:cs="Segoe UI"/>
          <w:szCs w:val="24"/>
          <w:lang w:eastAsia="es-CO"/>
        </w:rPr>
        <w:t xml:space="preserve">Cuando haya dos o más operaciones independientes, y cada una de ellas sea igualmente comparable a la operación entre vinculados, se podrá obtener un rango de indicadores financieros relevantes de precios o márgenes de utilidad, habiéndoles aplicado el más apropiado de los métodos indicados de que trata el </w:t>
      </w:r>
      <w:hyperlink r:id="rId65" w:tooltip="Estatuto Tributario CETA" w:history="1">
        <w:r w:rsidRPr="00CF2C96">
          <w:rPr>
            <w:rFonts w:ascii="Segoe UI" w:eastAsia="Times New Roman" w:hAnsi="Segoe UI" w:cs="Segoe UI"/>
            <w:color w:val="0089E1"/>
            <w:szCs w:val="24"/>
            <w:lang w:eastAsia="es-CO"/>
          </w:rPr>
          <w:t>artículo 260-3</w:t>
        </w:r>
      </w:hyperlink>
      <w:r w:rsidRPr="00CF2C96">
        <w:rPr>
          <w:rFonts w:ascii="Segoe UI" w:eastAsia="Times New Roman" w:hAnsi="Segoe UI" w:cs="Segoe UI"/>
          <w:szCs w:val="24"/>
          <w:lang w:eastAsia="es-CO"/>
        </w:rPr>
        <w:t xml:space="preserve"> del Estatuto Tributario. Este rango se denominará de Plena Competencia.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Sin embargo, una vez realizado el proceso para seleccionar comparables y pudiendo haber limitaciones de información sobre ellos, a pesar de haber tenido en cuenta las consideraciones necesarias para excluir aquellas observaciones menos confiables, las cuales no pueden identificarse o cuantificarse y por tanto no son susceptibles de ajuste, se puede llegar a un rango de precios o márgenes de utilidad que se considera sigue generando diferencias en la comparabilidad. En tal caso, el contribuyente podrá utilizar herramientas estadísticas que consideran la tendencia central, como por ejemplo el método estadístico del rango </w:t>
      </w:r>
      <w:proofErr w:type="spellStart"/>
      <w:r w:rsidRPr="00CF2C96">
        <w:rPr>
          <w:rFonts w:ascii="Segoe UI" w:eastAsia="Times New Roman" w:hAnsi="Segoe UI" w:cs="Segoe UI"/>
          <w:szCs w:val="24"/>
          <w:lang w:eastAsia="es-CO"/>
        </w:rPr>
        <w:t>intercuartil</w:t>
      </w:r>
      <w:proofErr w:type="spellEnd"/>
      <w:r w:rsidRPr="00CF2C96">
        <w:rPr>
          <w:rFonts w:ascii="Segoe UI" w:eastAsia="Times New Roman" w:hAnsi="Segoe UI" w:cs="Segoe UI"/>
          <w:szCs w:val="24"/>
          <w:lang w:eastAsia="es-CO"/>
        </w:rPr>
        <w:t xml:space="preserve"> u otros percentiles con el fin de mejorar la confiabilidad del análisis.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El contribuyente del impuesto sobre la renta y complementarios deberá manifestar, en su documentación comprobatoria, las razones técnicas que lo llevaron a seleccionar el rango de plena competencia o un rango ajustado mediante otras herramientas estadísticas.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En el caso de que el contribuyente del impuesto sobre la renta y complementarios opte por la aplicación de la metodología del rango </w:t>
      </w:r>
      <w:proofErr w:type="spellStart"/>
      <w:r w:rsidRPr="00CF2C96">
        <w:rPr>
          <w:rFonts w:ascii="Segoe UI" w:eastAsia="Times New Roman" w:hAnsi="Segoe UI" w:cs="Segoe UI"/>
          <w:szCs w:val="24"/>
          <w:lang w:eastAsia="es-CO"/>
        </w:rPr>
        <w:t>intercuartil</w:t>
      </w:r>
      <w:proofErr w:type="spellEnd"/>
      <w:r w:rsidRPr="00CF2C96">
        <w:rPr>
          <w:rFonts w:ascii="Segoe UI" w:eastAsia="Times New Roman" w:hAnsi="Segoe UI" w:cs="Segoe UI"/>
          <w:szCs w:val="24"/>
          <w:lang w:eastAsia="es-CO"/>
        </w:rPr>
        <w:t>, deberá aplicar la siguiente metodología: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Ordenar los precios, montos de contraprestación o márgenes de utilidad en forma ascendente de acuerdo con su valor;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Asignar a cada uno de los precios, montos de contraprestación o márgenes de utilidad, un número entero secuencial, iniciando con la unidad y terminando con el número total de elementos que integran la muestra;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Obtener la mediana adicionando la unidad al número total de elementos que integran la muestra de precios, montos de contraprestación o márgenes de utilidad y dividiendo el resultado entre dos (2);</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 Determinar el valor de la mediana ubicando el precio o margen de utilidad correspondiente al número entero del resultado obtenido en el literal anterior.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Cuando la mediana sea un número formado por entero y decimales, el valor de la mediana se deberá determinar de la siguiente manera: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1. Obtener la diferencia entre el precio, monto de contraprestación o margen de utilidad a que se refiere este literal, tomando como referencia el número entero de la mediana calculada de la forma prevista en el literal c), y el precio o margen de utilidad inmediato superior, considerando en ambos casos su valor.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2. Multiplicar el resultado obtenido en el numeral anterior por el número decimal correspondiente a la mediana y adicionarle el valor del precio, monto de contraprestación o margen de utilidad que corresponda al número entero de la mediana prevista en el literal c);</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 Obtener el percentil vigésimo quinto, mediante la suma de la unidad a la mediana y la división del resultado entre 2. Para efectos de este literal se tomará como mediana el resultado a que hace referencia el literal c);</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f) Determinar el límite inferior del rango ubicando el valor del precio, monto de contraprestación o margen de utilidad correspondiente al número entero secuencial del percentil vigésimo quinto.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Cuando el percentil vigésimo quinto sea un número formado por entero y decimales, el límite inferior del rango deberá determinarse de la siguiente manera: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1. Obtener la diferencia entre el precio, monto de contraprestación o margen de utilidad a que se refiere este literal, tomando como referencia el número entero del percentil vigésimo quinto calculado de la forma prevista en el literal e), y el precio o margen de utilidad inmediato superior, considerando para ambos casos su valor.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2. Multiplicar el resultado obtenido en el numeral anterior por el número decimal del percentil vigésimo quinto y adicionarle el valor del precio, monto de la </w:t>
      </w:r>
      <w:r w:rsidRPr="00CF2C96">
        <w:rPr>
          <w:rFonts w:ascii="Segoe UI" w:eastAsia="Times New Roman" w:hAnsi="Segoe UI" w:cs="Segoe UI"/>
          <w:szCs w:val="24"/>
          <w:lang w:eastAsia="es-CO"/>
        </w:rPr>
        <w:lastRenderedPageBreak/>
        <w:t>contraprestación o margen de utilidad que corresponda al número entero del percentil vigésimo quinto previsto en el literal 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g) Obtener el percentil septuagésimo quinto, mediante la resta de la unidad a la mediana a que hace referencia el literal c), sumándole al resultado el percentil vigésimo quinto obtenido en el literal 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h) Determinar el límite superior del rango ubicando el valor del precio, monto de contraprestación o margen de utilidad correspondiente al número entero secuencial del percentil septuagésimo quinto.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Cuando el percentil septuagésimo quinto sea un número formado por entero y decimales, el límite superior del rango deberá determinarse de la siguiente manera: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1. Obtener la diferencia entre el precio, monto de contraprestación o margen de utilidad a que se refiere el primer inciso de este literal, tomando como referencia el número entero del septuagésimo quinto calculado de la forma prevista en el literal g), y el precio o margen de utilidad inmediato superior, considerando para ambos casos su valor.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2. Multiplicar el resultado obtenido conforme al numeral anterior por el número decimal del percentil septuagésimo quinto y adicionarle el valor del precio, monto de contraprestación o margen de utilidad que corresponda al número entero del percentil septuagésimo quinto previsto en el literal g).</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 xml:space="preserve">Artículo 9°. </w:t>
      </w:r>
      <w:r w:rsidRPr="00CF2C96">
        <w:rPr>
          <w:rFonts w:ascii="Segoe UI" w:eastAsia="Times New Roman" w:hAnsi="Segoe UI" w:cs="Segoe UI"/>
          <w:i/>
          <w:iCs/>
          <w:szCs w:val="24"/>
          <w:lang w:eastAsia="es-CO"/>
        </w:rPr>
        <w:t xml:space="preserve">Plazo para la presentación de la documentación. </w:t>
      </w:r>
      <w:r w:rsidRPr="00CF2C96">
        <w:rPr>
          <w:rFonts w:ascii="Segoe UI" w:eastAsia="Times New Roman" w:hAnsi="Segoe UI" w:cs="Segoe UI"/>
          <w:szCs w:val="24"/>
          <w:lang w:eastAsia="es-CO"/>
        </w:rPr>
        <w:t>La documentación comprobatoria deberá presentarse dentro del año inmediatamente siguiente al año gravable al que corresponde la información, en las fechas que determine el Gobierno Nacional, en forma virtual a través de los servicios informáticos electrónicos de la Dirección de Impuestos y Aduanas Nacionales y en las condiciones que esta determine, atendiendo al último dígito del NIT del obligado, sin el dígito de verificación.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Para efectos de control de las obligaciones derivadas de la aplicación del régimen de precios de transferencia, la documentación comprobatoria deberá conservarse por un término de cinco (5) años, contados a partir del 1° de enero del año gravable siguiente al que corresponden las operaciones que dieron lugar a su elaboración, expedición o recibo, así como demás informaciones y pruebas referentes a las operaciones realizadas con vinculados del exterior, o con vinculados ubicados en zonas francas, o con personas, sociedades, entidades o empresas ubicadas, residentes o domiciliadas en paraísos fiscales.</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szCs w:val="24"/>
          <w:lang w:eastAsia="es-CO"/>
        </w:rPr>
        <w:t>CAPÍTULO III</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bCs/>
          <w:szCs w:val="24"/>
          <w:lang w:eastAsia="es-CO"/>
        </w:rPr>
        <w:t>Declaración informativa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 xml:space="preserve">Artículo 10. </w:t>
      </w:r>
      <w:r w:rsidRPr="00CF2C96">
        <w:rPr>
          <w:rFonts w:ascii="Segoe UI" w:eastAsia="Times New Roman" w:hAnsi="Segoe UI" w:cs="Segoe UI"/>
          <w:i/>
          <w:iCs/>
          <w:szCs w:val="24"/>
          <w:lang w:eastAsia="es-CO"/>
        </w:rPr>
        <w:t xml:space="preserve">Contenido de la declaración informativa. </w:t>
      </w:r>
      <w:r w:rsidRPr="00CF2C96">
        <w:rPr>
          <w:rFonts w:ascii="Segoe UI" w:eastAsia="Times New Roman" w:hAnsi="Segoe UI" w:cs="Segoe UI"/>
          <w:szCs w:val="24"/>
          <w:lang w:eastAsia="es-CO"/>
        </w:rPr>
        <w:t xml:space="preserve">La declaración informativa de precios de transferencia a que se refiere el </w:t>
      </w:r>
      <w:hyperlink r:id="rId66" w:tooltip="Estatuto Tributario CETA" w:history="1">
        <w:r w:rsidRPr="00CF2C96">
          <w:rPr>
            <w:rFonts w:ascii="Segoe UI" w:eastAsia="Times New Roman" w:hAnsi="Segoe UI" w:cs="Segoe UI"/>
            <w:color w:val="0089E1"/>
            <w:szCs w:val="24"/>
            <w:lang w:eastAsia="es-CO"/>
          </w:rPr>
          <w:t>artículo 260-9</w:t>
        </w:r>
      </w:hyperlink>
      <w:r w:rsidRPr="00CF2C96">
        <w:rPr>
          <w:rFonts w:ascii="Segoe UI" w:eastAsia="Times New Roman" w:hAnsi="Segoe UI" w:cs="Segoe UI"/>
          <w:szCs w:val="24"/>
          <w:lang w:eastAsia="es-CO"/>
        </w:rPr>
        <w:t xml:space="preserve"> del Estatuto Tributario, deberá contener: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a) El formulario que para el efecto señale la Dirección de Impuestos y Aduanas Nacionales debidamente diligenciado;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La información necesaria para la identificación del contribuyente;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La información necesaria para la identificación de los vinculados del exterior, los vinculados ubicados en zonas francas, o las personas, sociedades, entidades o empresas ubicadas, residentes o domiciliadas en paraísos fiscales, según el caso, con los cuales se celebraron operaciones;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 La información necesaria para la identificación de los tipos de operación realizados durante el año gravable por el contribuyente con vinculados del exterior, o con vinculados ubicados en zonas trancas, o con personas, sociedades, entidades o empresas ubicadas, residentes o domiciliadas en paraísos fiscales, según el caso;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 La información sobre la metodología utilizada y demás factores necesarios para la determinación de los precios o márgenes de utilidad;</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f) La información sobre acuerdos de costos compartidos y reestructuraciones empresariales;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g) La liquidación de las sanciones cuando a ello haya lugar;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h) La firma de quien cumpla el deber formal de declarar.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 1°.</w:t>
      </w:r>
      <w:r w:rsidRPr="00CF2C96">
        <w:rPr>
          <w:rFonts w:ascii="Segoe UI" w:eastAsia="Times New Roman" w:hAnsi="Segoe UI" w:cs="Segoe UI"/>
          <w:szCs w:val="24"/>
          <w:lang w:eastAsia="es-CO"/>
        </w:rPr>
        <w:t xml:space="preserve"> La declaración informativa de precios de transferencia deberá ser firmada por: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a) El contribuyente o su representante a que hace referencia el </w:t>
      </w:r>
      <w:hyperlink r:id="rId67" w:tooltip="Estatuto Tributario CETA" w:history="1">
        <w:r w:rsidRPr="00CF2C96">
          <w:rPr>
            <w:rFonts w:ascii="Segoe UI" w:eastAsia="Times New Roman" w:hAnsi="Segoe UI" w:cs="Segoe UI"/>
            <w:color w:val="0089E1"/>
            <w:szCs w:val="24"/>
            <w:lang w:eastAsia="es-CO"/>
          </w:rPr>
          <w:t>artículo 572</w:t>
        </w:r>
      </w:hyperlink>
      <w:r w:rsidRPr="00CF2C96">
        <w:rPr>
          <w:rFonts w:ascii="Segoe UI" w:eastAsia="Times New Roman" w:hAnsi="Segoe UI" w:cs="Segoe UI"/>
          <w:szCs w:val="24"/>
          <w:lang w:eastAsia="es-CO"/>
        </w:rPr>
        <w:t xml:space="preserve"> del Estatuto Tributario;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b) Los apoderados generales y mandatarios especiales que no sean abogados a que hace relación el </w:t>
      </w:r>
      <w:hyperlink r:id="rId68" w:tooltip="Estatuto Tributario CETA" w:history="1">
        <w:r w:rsidRPr="00CF2C96">
          <w:rPr>
            <w:rFonts w:ascii="Segoe UI" w:eastAsia="Times New Roman" w:hAnsi="Segoe UI" w:cs="Segoe UI"/>
            <w:color w:val="0089E1"/>
            <w:szCs w:val="24"/>
            <w:lang w:eastAsia="es-CO"/>
          </w:rPr>
          <w:t>artículo 572-1</w:t>
        </w:r>
      </w:hyperlink>
      <w:r w:rsidRPr="00CF2C96">
        <w:rPr>
          <w:rFonts w:ascii="Segoe UI" w:eastAsia="Times New Roman" w:hAnsi="Segoe UI" w:cs="Segoe UI"/>
          <w:szCs w:val="24"/>
          <w:lang w:eastAsia="es-CO"/>
        </w:rPr>
        <w:t xml:space="preserve"> del Estatuto Tributario. En este caso se requiere poder otorgado mediante escritura pública.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 2°.</w:t>
      </w:r>
      <w:r w:rsidRPr="00CF2C96">
        <w:rPr>
          <w:rFonts w:ascii="Segoe UI" w:eastAsia="Times New Roman" w:hAnsi="Segoe UI" w:cs="Segoe UI"/>
          <w:szCs w:val="24"/>
          <w:lang w:eastAsia="es-CO"/>
        </w:rPr>
        <w:t xml:space="preserve"> De conformidad con lo señalado en el </w:t>
      </w:r>
      <w:hyperlink r:id="rId69" w:tooltip="Estatuto Tributario CETA" w:history="1">
        <w:r w:rsidRPr="00CF2C96">
          <w:rPr>
            <w:rFonts w:ascii="Segoe UI" w:eastAsia="Times New Roman" w:hAnsi="Segoe UI" w:cs="Segoe UI"/>
            <w:color w:val="0089E1"/>
            <w:szCs w:val="24"/>
            <w:lang w:eastAsia="es-CO"/>
          </w:rPr>
          <w:t>artículo 576</w:t>
        </w:r>
      </w:hyperlink>
      <w:r w:rsidRPr="00CF2C96">
        <w:rPr>
          <w:rFonts w:ascii="Segoe UI" w:eastAsia="Times New Roman" w:hAnsi="Segoe UI" w:cs="Segoe UI"/>
          <w:szCs w:val="24"/>
          <w:lang w:eastAsia="es-CO"/>
        </w:rPr>
        <w:t xml:space="preserve"> del Estatuto Tributario, la declaración informativa de precios de transferencia de los contribuyentes con residencia en el exterior deberá ser presentada por: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Las sucursales de sociedades extranjeras;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Los establecimientos permanentes de personas naturales no residentes o de personas jurídicas o entidades extranjeras, según el caso.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Si quienes quedan sujetos a la obligación de presentar declaración informativa de precios de transferencia no la cumplieren, serán responsables por las sanciones a que hubiere lugar.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11.</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Tipos de operación. </w:t>
      </w:r>
      <w:r w:rsidRPr="00CF2C96">
        <w:rPr>
          <w:rFonts w:ascii="Segoe UI" w:eastAsia="Times New Roman" w:hAnsi="Segoe UI" w:cs="Segoe UI"/>
          <w:szCs w:val="24"/>
          <w:lang w:eastAsia="es-CO"/>
        </w:rPr>
        <w:t>Se entiende por tipo de operación el conjunto de las operaciones que realiza el contribuyente mediante actividades que no presentan diferencias significativas en relación con las funciones efectuadas, los activos utilizados y los riesgos asumidos por el mismo.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Deberán declararse por separado aquellos tipos de operación que se denominen de manera idéntica o similar pero que al momento de realizarse presenten diferencias significativas en relación con las funciones efectuadas, los activos utilizados y los riesgos asumidos, aun cuando se hubieren celebrado con el mismo </w:t>
      </w:r>
      <w:r w:rsidRPr="00CF2C96">
        <w:rPr>
          <w:rFonts w:ascii="Segoe UI" w:eastAsia="Times New Roman" w:hAnsi="Segoe UI" w:cs="Segoe UI"/>
          <w:szCs w:val="24"/>
          <w:lang w:eastAsia="es-CO"/>
        </w:rPr>
        <w:lastRenderedPageBreak/>
        <w:t>vinculado del exterior, o vinculados ubicados en zonas francas, o personas, sociedades, entidades o empresas ubicadas, residentes o domiciliadas en paraísos fiscales.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Para este efecto se debe determinar el monto acumulado en el año gravable de los siguientes tipos de operación: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1. Operaciones de ingreso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Recibidos o abonados en cuenta por concepto de: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Netos por venta de inventarios producidos.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Netos por venta de inventarios no producidos.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Servicios intermedios de la producción - maquila.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Servicios administrativos.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Asistencia técnica.</w:t>
      </w:r>
    </w:p>
    <w:p w:rsidR="00CF2C96" w:rsidRPr="00CF2C96" w:rsidRDefault="00CF2C96" w:rsidP="00CF2C96">
      <w:pPr>
        <w:spacing w:line="240" w:lineRule="auto"/>
        <w:rPr>
          <w:rFonts w:eastAsia="Times New Roman"/>
          <w:szCs w:val="24"/>
          <w:lang w:eastAsia="es-CO"/>
        </w:rPr>
      </w:pPr>
      <w:r w:rsidRPr="00CF2C96">
        <w:rPr>
          <w:rFonts w:ascii="Segoe UI" w:eastAsia="Times New Roman" w:hAnsi="Segoe UI" w:cs="Segoe UI"/>
          <w:szCs w:val="24"/>
          <w:lang w:eastAsia="es-CO"/>
        </w:rPr>
        <w:t>Servicios técnicos.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Otros servicios.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Honorarios.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Comisiones.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Publicidad.</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Seguros y reaseguros.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Ingresos por Derivados financieros.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Intereses sobre préstamos.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Arrendamientos.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Arrendamientos financieros.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Prestación de otros servicios financieros.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Garantías.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Enajenación de acciones (inventario).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Enajenación de acciones y aportes (activo fijo).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Venta de cartera.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Venta de activos fijos no depreciables.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Venta de activos fijos depreciables, amortizables y agotables.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Venta de intangibles o derechos tales como patentes, know-how, marcas, entre otros.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Cesión de intangibles, derechos u obligaciones.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Licenciamientos o franquicias.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Regalías.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Otras Inversiones.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Otros activos.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Otros ingresos.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2. Operaciones de egreso (costos y deducciones).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Pago o abono en cuenta por concepto de: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Compra neta de inventarios para producción.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Compra neta de inventarios para distribución.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Servicios intermedios de la producción - maquila.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Servicios administrativos.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Asistencia técnica.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Servicios técnicos.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Otros servicios.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Honorarios.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Comisiones.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Publicidad.</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Seguros y reaseguros.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Egresos por Derivados financieros.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Intereses sobre préstamos.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Arrendamientos.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Arrendamientos financieros.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Prestación de otros servicios financieros.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Garantías.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Compra de acciones (inventario).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Compra de acciones y aportes (activo fijo).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Venta de cartera.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Compra de activos fijos no depreciables.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Compra de activos fijos depreciables, amortizables y agotables.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Compra de intangibles o derechos tales como patentes, know-how, marcas, entre otros.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Cesión de intangibles, derechos u obligaciones.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Licenciamientos o franquicias.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Regalías.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Otras Inversiones.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Otros activos.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Otros egresos.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3. Otras operaciones: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Aportes en especie o en industria a sociedades o entidades extranjeras.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Aportes de intangibles a sociedades o entidades extranjeras.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4. Información adicional.</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Préstamos con vinculados que no fueron reflejados en el Estado de Resultados.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Reintegros o reembolsos de gastos con vinculados que no fueron reflejados en el Estado de Resultados.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Operaciones efectuadas a nombre de vinculados que no fueron reflejados en el Estado de Resultados.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La información de que trata este numeral deberá ser declarada por el contribuyente del impuesto sobre la renta y complementarios en la declaración informativa, pero no documentada en la documentación comprobatoria. Además, no deberá ser tenida en cuenta para efectos de determinar si las operaciones superan los topes a que se refiere el artículo 2° de este decreto.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Aportes a sociedades y entidades extranjeras. </w:t>
      </w:r>
      <w:r w:rsidRPr="00CF2C96">
        <w:rPr>
          <w:rFonts w:ascii="Segoe UI" w:eastAsia="Times New Roman" w:hAnsi="Segoe UI" w:cs="Segoe UI"/>
          <w:szCs w:val="24"/>
          <w:lang w:eastAsia="es-CO"/>
        </w:rPr>
        <w:t xml:space="preserve">Los aportes en especie y los aportes en industria que hagan personas naturales, personas jurídicas o </w:t>
      </w:r>
      <w:r w:rsidRPr="00CF2C96">
        <w:rPr>
          <w:rFonts w:ascii="Segoe UI" w:eastAsia="Times New Roman" w:hAnsi="Segoe UI" w:cs="Segoe UI"/>
          <w:szCs w:val="24"/>
          <w:lang w:eastAsia="es-CO"/>
        </w:rPr>
        <w:lastRenderedPageBreak/>
        <w:t>entidades nacionales a sociedades u otras entidades extranjeras constituyen enajenación para efectos fiscales, los cuales estarán sometidos al impuesto sobre la renta y complementarios de acuerdo con las reglas generales de enajenación de activos y estarán sometidos a su vez al régimen de precios de transferencia.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Los aportes de intangibles a sociedades u otras entidades extranjeras, independientemente de su cuantía, deberán reportarse en la declaración informativa de precios de transferencia.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12.</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Plazo para la presentación de la declaración informativa. </w:t>
      </w:r>
      <w:r w:rsidRPr="00CF2C96">
        <w:rPr>
          <w:rFonts w:ascii="Segoe UI" w:eastAsia="Times New Roman" w:hAnsi="Segoe UI" w:cs="Segoe UI"/>
          <w:szCs w:val="24"/>
          <w:lang w:eastAsia="es-CO"/>
        </w:rPr>
        <w:t xml:space="preserve">La declaración informativa de que trata el </w:t>
      </w:r>
      <w:hyperlink r:id="rId70" w:tooltip="Estatuto Tributario CETA" w:history="1">
        <w:r w:rsidRPr="00CF2C96">
          <w:rPr>
            <w:rFonts w:ascii="Segoe UI" w:eastAsia="Times New Roman" w:hAnsi="Segoe UI" w:cs="Segoe UI"/>
            <w:color w:val="0089E1"/>
            <w:szCs w:val="24"/>
            <w:lang w:eastAsia="es-CO"/>
          </w:rPr>
          <w:t>artículo 260-9</w:t>
        </w:r>
      </w:hyperlink>
      <w:r w:rsidRPr="00CF2C96">
        <w:rPr>
          <w:rFonts w:ascii="Segoe UI" w:eastAsia="Times New Roman" w:hAnsi="Segoe UI" w:cs="Segoe UI"/>
          <w:szCs w:val="24"/>
          <w:lang w:eastAsia="es-CO"/>
        </w:rPr>
        <w:t xml:space="preserve"> del Estatuto Tributario, deberá ser presentada en las fechas que determine el Gobierno Nacional, en forma virtual a través de los servicios informáticos electrónicos de la Dirección de Impuestos y Aduanas Nacionales, en las condiciones técnicas que esta determine, atendiendo al último dígito del NIT del obligado, sin el dígito de verificación.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13.</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Previsiones. </w:t>
      </w:r>
      <w:r w:rsidRPr="00CF2C96">
        <w:rPr>
          <w:rFonts w:ascii="Segoe UI" w:eastAsia="Times New Roman" w:hAnsi="Segoe UI" w:cs="Segoe UI"/>
          <w:szCs w:val="24"/>
          <w:lang w:eastAsia="es-CO"/>
        </w:rPr>
        <w:t>El obligado a presentar declaración informativa y documentación comprobatoria deberá prever con suficiente anticipación el adecuado funcionamiento de los medios requeridos para asegurar el cumplimiento de sus obligaciones.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En ningún caso constituirán causales de justificación de la extemporaneidad en la presentación de la documentación comprobatoria, los eventuales daños en su sistema y/o equipos informáticos, falta de conexión, los daños en el mecanismo de firma con certificado digital, el no agotar los procedimientos previos a la presentación de la información, como el trámite de inscripción o actualización en el Registro Único Tributario con las responsabilidades relacionadas para el cumplimiento de la obligación y activación del mecanismo de firma digital, la pérdida del archivo de firma u olvido de la clave secreta del mismo por quienes deben cumplir con la obligación de informar y declarar en forma virtual o la solicitud de cambio o asignación de un nuevo mecanismo de firma amparado con certificado digital, con una antelación inferior a tres (3) días hábiles al vencimiento.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w:t>
      </w:r>
      <w:r w:rsidRPr="00CF2C96">
        <w:rPr>
          <w:rFonts w:ascii="Segoe UI" w:eastAsia="Times New Roman" w:hAnsi="Segoe UI" w:cs="Segoe UI"/>
          <w:szCs w:val="24"/>
          <w:lang w:eastAsia="es-CO"/>
        </w:rPr>
        <w:t xml:space="preserve"> Cuando por fuerza mayor no imputable al obligado, no haya disponibilidad de los servicios informáticos electrónicos, deberá procederse en la siguiente forma: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La declaración informativa y/o la documentación comprobatoria se presentarán en forma virtual a través de los servicios informáticos electrónicos de la Dirección de Impuestos y Aduanas Nacionales, haciendo uso del mecanismo de firma digital, al día siguiente del restablecimiento del servicio electrónico, hasta obtener el resultado exitoso de este procedimiento.</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szCs w:val="24"/>
          <w:lang w:eastAsia="es-CO"/>
        </w:rPr>
        <w:t>CAPÍTULO IV</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bCs/>
          <w:szCs w:val="24"/>
          <w:lang w:eastAsia="es-CO"/>
        </w:rPr>
        <w:t>Acuerdos anticipados de precios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14.</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Acuerdo Anticipado de Precios (APA). </w:t>
      </w:r>
      <w:r w:rsidRPr="00CF2C96">
        <w:rPr>
          <w:rFonts w:ascii="Segoe UI" w:eastAsia="Times New Roman" w:hAnsi="Segoe UI" w:cs="Segoe UI"/>
          <w:szCs w:val="24"/>
          <w:lang w:eastAsia="es-CO"/>
        </w:rPr>
        <w:t xml:space="preserve">Conforme con lo establecido en el </w:t>
      </w:r>
      <w:hyperlink r:id="rId71" w:tooltip="Estatuto Tributario CETA" w:history="1">
        <w:r w:rsidRPr="00CF2C96">
          <w:rPr>
            <w:rFonts w:ascii="Segoe UI" w:eastAsia="Times New Roman" w:hAnsi="Segoe UI" w:cs="Segoe UI"/>
            <w:color w:val="0089E1"/>
            <w:szCs w:val="24"/>
            <w:lang w:eastAsia="es-CO"/>
          </w:rPr>
          <w:t>artículo 260-10</w:t>
        </w:r>
      </w:hyperlink>
      <w:r w:rsidRPr="00CF2C96">
        <w:rPr>
          <w:rFonts w:ascii="Segoe UI" w:eastAsia="Times New Roman" w:hAnsi="Segoe UI" w:cs="Segoe UI"/>
          <w:szCs w:val="24"/>
          <w:lang w:eastAsia="es-CO"/>
        </w:rPr>
        <w:t xml:space="preserve"> del Estatuto Tributario, se entiende por Acuerdo Anticipado de Precios (APA) el suscrito entre la Dirección de Impuestos y Aduanas Nacionales y el </w:t>
      </w:r>
      <w:r w:rsidRPr="00CF2C96">
        <w:rPr>
          <w:rFonts w:ascii="Segoe UI" w:eastAsia="Times New Roman" w:hAnsi="Segoe UI" w:cs="Segoe UI"/>
          <w:szCs w:val="24"/>
          <w:lang w:eastAsia="es-CO"/>
        </w:rPr>
        <w:lastRenderedPageBreak/>
        <w:t>contribuyente del impuesto sobre la renta, que lo solicite, en el que se determina, para efectos del impuesto sobre la renta y complementarios, un conjunto de criterios y una metodología para la fijación de los precios, montos de contraprestación o márgenes de utilidad aplicables durante determinados períodos fiscales a las operaciones que se realicen con vinculados.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15.</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Solicitud de Acuerdo Anticipado de Precios (APA). </w:t>
      </w:r>
      <w:r w:rsidRPr="00CF2C96">
        <w:rPr>
          <w:rFonts w:ascii="Segoe UI" w:eastAsia="Times New Roman" w:hAnsi="Segoe UI" w:cs="Segoe UI"/>
          <w:szCs w:val="24"/>
          <w:lang w:eastAsia="es-CO"/>
        </w:rPr>
        <w:t>Los contribuyentes del impuesto sobre la renta y complementarios que realicen operaciones con vinculados podrán solicitar por escrito a la Dirección de Impuestos y Aduanas Nacionales, la celebración de un Acuerdo Anticipado de Precios. La solicitud deberá ser suscrita por el contribuyente que realice las operaciones objeto del mismo y deberá presentarse ante el Director General de Impuestos y Aduanas Nacionales o su delegado.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La solicitud de un Acuerdo Anticipado de Precios deberá contener la siguiente información: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Nombre o razón social, número de identificación tributaria, país de residencia, domicilio y dirección del contribuyente y del(los) vinculado(s) cubierto(s) por el Acuerdo que se solicita;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Descripción general de la actividad económica principal y de las actividades accesorias que desarrollan el solicitante y su(s) vinculado(s) con el(los) cual(es) se celebren operaciones que hayan sido incluidas como objeto del Acuerdo. Estructura organizacional nacional e internacional, composición del capital social y principales acuerdos celebrados por los vinculados intervinientes en la operación con incidencia en los estados financieros;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Descripción del contenido del Acuerdo que se pretende formular, relacionando cada uno de los tipos de operación que serán cubiertos, con indicación de la moneda en que se prevé realizar las operaciones;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 Descripción y justificación de los supuestos fundamentales del Acuerdo, tomando en consideración, y en lo pertinente al caso específico, entre otras, las siguientes hipótesis fundamentales: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1. La legislación tributaria colombiana y las disposiciones de los convenios internacionales si los hubiere, suscritos por Colombia con el país o los países en donde el (los) vinculado(s) tenga(n) residencia o domicilio.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2. Aranceles, derechos de aduanas, restricciones a la importación y demás regulaciones gubernamentales en materia de comercio exterior.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3. Condiciones económicas, cuota y condiciones del mercado, volumen de ventas y precio de venta final.</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4. Naturaleza de las funciones, los activos utilizados y los riesgos incurridos por las empresas que participan en las operaciones cubiertas por el Acuerdo.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5. Tasa de cambio, tasa de interés y clasificación crediticia.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6. Estructura de capital y administración.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7. Contabilidad financiera y clasificación de los ingresos, costos y gastos, activos y pasivos.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8. Las empresas que operarán en países distintos a Colombia y la forma jurídica que tomarán sus operaciones.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 xml:space="preserve">e) Explicación detallada de la metodología de precios de transferencia propuesta, ilustrando su aplicación en los tres (3) últimos ejercicios fiscales. Cuando por razones objetivas comprobables no exista información histórica para esta aplicación, se deberá presentar la aplicación de la metodología con base en cifras estimadas, teniendo en cuenta lo previsto en los numerales 2 y 4 del artículo </w:t>
      </w:r>
      <w:proofErr w:type="gramStart"/>
      <w:r w:rsidRPr="00CF2C96">
        <w:rPr>
          <w:rFonts w:ascii="Segoe UI" w:eastAsia="Times New Roman" w:hAnsi="Segoe UI" w:cs="Segoe UI"/>
          <w:szCs w:val="24"/>
          <w:lang w:eastAsia="es-CO"/>
        </w:rPr>
        <w:t>4°</w:t>
      </w:r>
      <w:proofErr w:type="gramEnd"/>
      <w:r w:rsidRPr="00CF2C96">
        <w:rPr>
          <w:rFonts w:ascii="Segoe UI" w:eastAsia="Times New Roman" w:hAnsi="Segoe UI" w:cs="Segoe UI"/>
          <w:szCs w:val="24"/>
          <w:lang w:eastAsia="es-CO"/>
        </w:rPr>
        <w:t xml:space="preserve"> de este decreto. Con la solicitud del Acuerdo Anticipado de Precios debe allegarse la información relacionada en el numeral 4 del artículo 4° de este decreto y la que se señala a continuación: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1. Información genérica respecto de este tipo de acuerdos, convenios o propuestas de valoración aprobadas o en trámite ante administraciones tributarias de otros Estados.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2. Identificación genérica de otros tipos de operación realizados entre las entidades vinculadas que no serán cobijados por el Acuerdo, con una breve explicación de los motivos por los cuales no se incluyen.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3. Demás información que el contribuyente considere pertinente.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Para los documentos extendidos en idioma distinto del </w:t>
      </w:r>
      <w:proofErr w:type="gramStart"/>
      <w:r w:rsidRPr="00CF2C96">
        <w:rPr>
          <w:rFonts w:ascii="Segoe UI" w:eastAsia="Times New Roman" w:hAnsi="Segoe UI" w:cs="Segoe UI"/>
          <w:szCs w:val="24"/>
          <w:lang w:eastAsia="es-CO"/>
        </w:rPr>
        <w:t>Castellano</w:t>
      </w:r>
      <w:proofErr w:type="gramEnd"/>
      <w:r w:rsidRPr="00CF2C96">
        <w:rPr>
          <w:rFonts w:ascii="Segoe UI" w:eastAsia="Times New Roman" w:hAnsi="Segoe UI" w:cs="Segoe UI"/>
          <w:szCs w:val="24"/>
          <w:lang w:eastAsia="es-CO"/>
        </w:rPr>
        <w:t xml:space="preserve"> deberá observarse lo señalado en el parágrafo 2° del artículo 4° de este decreto.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16.</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Reserva y uso de la documentación e información. </w:t>
      </w:r>
      <w:r w:rsidRPr="00CF2C96">
        <w:rPr>
          <w:rFonts w:ascii="Segoe UI" w:eastAsia="Times New Roman" w:hAnsi="Segoe UI" w:cs="Segoe UI"/>
          <w:szCs w:val="24"/>
          <w:lang w:eastAsia="es-CO"/>
        </w:rPr>
        <w:t>La documentación e información presentada para la suscripción de los Acuerdos Anticipados de Precios tendrá efectos únicamente en relación con ese procedimiento y será utilizada exclusivamente respecto del mismo, salvo cuando el acuerdo sea revocado o cancelado por incumplimiento.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Los funcionarios de la Dirección de Impuestos y Aduanas Nacionales que intervengan en ese procedimiento, deberán guardar la reserva legal contemplada en el Estatuto Tributario.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17.</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Aceptación o rechazo de la solicitud de Acuerdo Anticipado de Precios. </w:t>
      </w:r>
      <w:r w:rsidRPr="00CF2C96">
        <w:rPr>
          <w:rFonts w:ascii="Segoe UI" w:eastAsia="Times New Roman" w:hAnsi="Segoe UI" w:cs="Segoe UI"/>
          <w:szCs w:val="24"/>
          <w:lang w:eastAsia="es-CO"/>
        </w:rPr>
        <w:t xml:space="preserve">Presentada la solicitud de Acuerdo Anticipado de Precios, la Dirección de Impuestos y Aduanas Nacionales dentro del término de los nueve (9) meses siguientes a que se refiere el </w:t>
      </w:r>
      <w:hyperlink r:id="rId72" w:tooltip="Estatuto Tributario CETA" w:history="1">
        <w:r w:rsidRPr="00CF2C96">
          <w:rPr>
            <w:rFonts w:ascii="Segoe UI" w:eastAsia="Times New Roman" w:hAnsi="Segoe UI" w:cs="Segoe UI"/>
            <w:color w:val="0089E1"/>
            <w:szCs w:val="24"/>
            <w:lang w:eastAsia="es-CO"/>
          </w:rPr>
          <w:t>artículo 260-10</w:t>
        </w:r>
      </w:hyperlink>
      <w:r w:rsidRPr="00CF2C96">
        <w:rPr>
          <w:rFonts w:ascii="Segoe UI" w:eastAsia="Times New Roman" w:hAnsi="Segoe UI" w:cs="Segoe UI"/>
          <w:szCs w:val="24"/>
          <w:lang w:eastAsia="es-CO"/>
        </w:rPr>
        <w:t xml:space="preserve"> del Estatuto Tributario, efectuará los análisis a que haya lugar y solicitará y recibirá las modificaciones y aclaraciones pertinentes para aceptar o rechazar dicha solicitud.</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En el evento de que la solicitud sea rechazada, procederá dentro de los quince (15) días siguientes a su notificación, el recurso de reposición de que trata el </w:t>
      </w:r>
      <w:hyperlink r:id="rId73" w:tooltip="Estatuto Tributario CETA" w:history="1">
        <w:r w:rsidRPr="00CF2C96">
          <w:rPr>
            <w:rFonts w:ascii="Segoe UI" w:eastAsia="Times New Roman" w:hAnsi="Segoe UI" w:cs="Segoe UI"/>
            <w:color w:val="0089E1"/>
            <w:szCs w:val="24"/>
            <w:lang w:eastAsia="es-CO"/>
          </w:rPr>
          <w:t>artículo 260-10</w:t>
        </w:r>
      </w:hyperlink>
      <w:r w:rsidRPr="00CF2C96">
        <w:rPr>
          <w:rFonts w:ascii="Segoe UI" w:eastAsia="Times New Roman" w:hAnsi="Segoe UI" w:cs="Segoe UI"/>
          <w:szCs w:val="24"/>
          <w:lang w:eastAsia="es-CO"/>
        </w:rPr>
        <w:t xml:space="preserve"> del mismo Estatuto. La Administración Tributaria tendrá un término de dos (2) meses contados a partir de su interposición para resolver el recurso.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18.</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Efectos del Acuerdo. </w:t>
      </w:r>
      <w:r w:rsidRPr="00CF2C96">
        <w:rPr>
          <w:rFonts w:ascii="Segoe UI" w:eastAsia="Times New Roman" w:hAnsi="Segoe UI" w:cs="Segoe UI"/>
          <w:szCs w:val="24"/>
          <w:lang w:eastAsia="es-CO"/>
        </w:rPr>
        <w:t>El Acuerdo Anticipado de Precios podrá surtir efectos en el período gravable en que se suscriba el acuerdo, el año inmediatamente anterior y hasta por los tres (3) períodos gravables siguientes, a la suscripción del acuerdo, según lo convenido entre las partes.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lastRenderedPageBreak/>
        <w:t>La Dirección de Impuestos y Aduanas Nacionales aceptará los valores declarados correspondientes a las operaciones realizadas entre vinculados, cuando reflejen la realidad económica y la correcta aplicación del Acuerdo.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w:t>
      </w:r>
      <w:r w:rsidRPr="00CF2C96">
        <w:rPr>
          <w:rFonts w:ascii="Segoe UI" w:eastAsia="Times New Roman" w:hAnsi="Segoe UI" w:cs="Segoe UI"/>
          <w:szCs w:val="24"/>
          <w:lang w:eastAsia="es-CO"/>
        </w:rPr>
        <w:t xml:space="preserve"> Los contribuyentes con los cuales la Dirección de Impuestos y Aduanas Nacionales celebre un Acuerdo Anticipado de Precios, y mientras el mismo surta sus efectos, no deberán preparar, por tales operaciones, la documentación comprobatoria de que trata el </w:t>
      </w:r>
      <w:hyperlink r:id="rId74" w:tooltip="Estatuto Tributario CETA" w:history="1">
        <w:r w:rsidRPr="00CF2C96">
          <w:rPr>
            <w:rFonts w:ascii="Segoe UI" w:eastAsia="Times New Roman" w:hAnsi="Segoe UI" w:cs="Segoe UI"/>
            <w:color w:val="0089E1"/>
            <w:szCs w:val="24"/>
            <w:lang w:eastAsia="es-CO"/>
          </w:rPr>
          <w:t>artículo 260-5</w:t>
        </w:r>
      </w:hyperlink>
      <w:r w:rsidRPr="00CF2C96">
        <w:rPr>
          <w:rFonts w:ascii="Segoe UI" w:eastAsia="Times New Roman" w:hAnsi="Segoe UI" w:cs="Segoe UI"/>
          <w:szCs w:val="24"/>
          <w:lang w:eastAsia="es-CO"/>
        </w:rPr>
        <w:t xml:space="preserve"> del Estatuto Tributario, salvo que la Administración Tributaria le requiera para su presentación, caso en el cual deberá ser presentada dentro de los dos meses siguientes a su solicitud so pena de las sanciones contempladas en el literal A) del </w:t>
      </w:r>
      <w:hyperlink r:id="rId75" w:tooltip="Estatuto Tributario CETA" w:history="1">
        <w:r w:rsidRPr="00CF2C96">
          <w:rPr>
            <w:rFonts w:ascii="Segoe UI" w:eastAsia="Times New Roman" w:hAnsi="Segoe UI" w:cs="Segoe UI"/>
            <w:color w:val="0089E1"/>
            <w:szCs w:val="24"/>
            <w:lang w:eastAsia="es-CO"/>
          </w:rPr>
          <w:t>artículo 260-11</w:t>
        </w:r>
      </w:hyperlink>
      <w:r w:rsidRPr="00CF2C96">
        <w:rPr>
          <w:rFonts w:ascii="Segoe UI" w:eastAsia="Times New Roman" w:hAnsi="Segoe UI" w:cs="Segoe UI"/>
          <w:szCs w:val="24"/>
          <w:lang w:eastAsia="es-CO"/>
        </w:rPr>
        <w:t xml:space="preserve"> del Estatuto Tributario.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19.</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Contenido del Acuerdo Anticipado de Precios. </w:t>
      </w:r>
      <w:r w:rsidRPr="00CF2C96">
        <w:rPr>
          <w:rFonts w:ascii="Segoe UI" w:eastAsia="Times New Roman" w:hAnsi="Segoe UI" w:cs="Segoe UI"/>
          <w:szCs w:val="24"/>
          <w:lang w:eastAsia="es-CO"/>
        </w:rPr>
        <w:t>El Acuerdo Anticipado de Precios contendrá como mínimo: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Lugar y fecha de suscripción;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Identificación del contribuyente que lo suscribe;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Motivos por los cuales la Dirección de Impuestos y Aduanas Nacionales aprueba la propuesta;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 Obligaciones del solicitante derivadas de la aplicación del Acuerdo;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 Los supuestos fundamentales del Acuerdo que sustentan la metodología aplicada;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f) Descripción de cada uno de los tipos de operación a los que se refiere el Acuerdo;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g) Moneda o monedas en que se realizan las operaciones;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h) Metodología adoptada para la determinación de los precios de transferencia para las operaciones que cobija;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i) Períodos gravables en los que surte efectos el Acuerdo;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j) Las pautas que permitan determinar con antelación una divergencia razonable en los supuestos establecidos;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k) Causales que dan lugar a su cancelación o terminación;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1) (Sic) Compromiso de remisión de informe dirigido al Director General de Impuestos y Aduanas Nacionales, en el que se demuestre la conformidad de sus precios de transferencia con las condiciones previstas en el Acuerdo;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m) Firma de las partes intervinientes.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 xml:space="preserve">Artículo 20. </w:t>
      </w:r>
      <w:r w:rsidRPr="00CF2C96">
        <w:rPr>
          <w:rFonts w:ascii="Segoe UI" w:eastAsia="Times New Roman" w:hAnsi="Segoe UI" w:cs="Segoe UI"/>
          <w:i/>
          <w:iCs/>
          <w:szCs w:val="24"/>
          <w:lang w:eastAsia="es-CO"/>
        </w:rPr>
        <w:t xml:space="preserve">Modificación del Acuerdo Anticipado de Precios. </w:t>
      </w:r>
      <w:r w:rsidRPr="00CF2C96">
        <w:rPr>
          <w:rFonts w:ascii="Segoe UI" w:eastAsia="Times New Roman" w:hAnsi="Segoe UI" w:cs="Segoe UI"/>
          <w:szCs w:val="24"/>
          <w:lang w:eastAsia="es-CO"/>
        </w:rPr>
        <w:t>Cuando se presenten variaciones significativas de los supuestos considerados en el momento de la suscripción del Acuerdo, el mismo podrá ser modificado para adecuarlo a las nuevas circunstancias, a iniciativa del contribuyente o de la Dirección de Impuestos y Aduanas Nacionales.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Se entenderán como variaciones significativas las derivadas de cualquier hecho o circunstancia que representen un cambio en los supuestos básicos del Acuerdo y cuyo efecto en los precios, montos de contraprestación o márgenes de utilidad contradiga los fundamentos del mismo.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lastRenderedPageBreak/>
        <w:t xml:space="preserve">Parágrafo 1°. </w:t>
      </w:r>
      <w:r w:rsidRPr="00CF2C96">
        <w:rPr>
          <w:rFonts w:ascii="Segoe UI" w:eastAsia="Times New Roman" w:hAnsi="Segoe UI" w:cs="Segoe UI"/>
          <w:szCs w:val="24"/>
          <w:lang w:eastAsia="es-CO"/>
        </w:rPr>
        <w:t>La solicitud de modificación del Acuerdo por iniciativa del contribuyente deberá ser presentada dentro de los dos (2) meses siguientes a la ocurrencia de los hechos o circunstancias que dan lugar a la solicitud.</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En la solicitud se deberán expresar las razones que justifican las variaciones significativas de los supuestos iniciales y proponer las modificaciones que al tenor de dichas variaciones resultan procedentes.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Una vez examinada la documentación aportada, dentro de los dos (2) meses siguientes a la fecha de presentación de la solicitud, la Dirección de Impuestos y Aduanas Nacionales podrá mediante resolución motivada: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Aprobar la modificación, en cuyo caso el Acuerdo modificado surtirá efectos en el período gravable en el cual se solicitó la modificación y hasta la terminación del período de vigencia del Acuerdo inicial;</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b) Rechazar la solicitud de modificación, en cuyo caso procederá dentro de los quince (15) días siguientes a su notificación, el recurso de reposición de que trata el </w:t>
      </w:r>
      <w:hyperlink r:id="rId76" w:tooltip="Estatuto Tributario CETA" w:history="1">
        <w:r w:rsidRPr="00CF2C96">
          <w:rPr>
            <w:rFonts w:ascii="Segoe UI" w:eastAsia="Times New Roman" w:hAnsi="Segoe UI" w:cs="Segoe UI"/>
            <w:color w:val="0089E1"/>
            <w:szCs w:val="24"/>
            <w:lang w:eastAsia="es-CO"/>
          </w:rPr>
          <w:t>artículo 260-10</w:t>
        </w:r>
      </w:hyperlink>
      <w:r w:rsidRPr="00CF2C96">
        <w:rPr>
          <w:rFonts w:ascii="Segoe UI" w:eastAsia="Times New Roman" w:hAnsi="Segoe UI" w:cs="Segoe UI"/>
          <w:szCs w:val="24"/>
          <w:lang w:eastAsia="es-CO"/>
        </w:rPr>
        <w:t xml:space="preserve"> del Estatuto Tributario. La Administración Tributaria tendrá un término de dos (2) meses contados a partir de su interposición para resolver el recurso.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 2°.</w:t>
      </w:r>
      <w:r w:rsidRPr="00CF2C96">
        <w:rPr>
          <w:rFonts w:ascii="Segoe UI" w:eastAsia="Times New Roman" w:hAnsi="Segoe UI" w:cs="Segoe UI"/>
          <w:szCs w:val="24"/>
          <w:lang w:eastAsia="es-CO"/>
        </w:rPr>
        <w:t xml:space="preserve"> Cuando la Dirección de Impuestos y Aduanas Nacionales establezca que se han presentado variaciones significativas en los supuestos considerados al momento de suscribir el Acuerdo, podrá notificar al contribuyente sobre tal situación. El contribuyente dispondrá de un (1) mes contado a partir de la notificación, para formular una modificación debidamente justificada o exponer y comprobar las razones que le asisten para considerar que no se han dado las variaciones sustanciales que ameritan la modificación del Acuerdo Anticipado de Precios.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Si vencido este plazo el contribuyente no presenta la correspondiente modificación o no expone por escrito y comprueba suficientemente las razones para no efectuarla, la Dirección de Impuestos y Aduanas Nacionales cancelará el Acuerdo, mediante resolución debidamente motivada, dejándolo sin efecto en relación con las operaciones que se realicen con posterioridad a la misma.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21.</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Formas de terminación de los Acuerdos Anticipados de Precios. </w:t>
      </w:r>
      <w:r w:rsidRPr="00CF2C96">
        <w:rPr>
          <w:rFonts w:ascii="Segoe UI" w:eastAsia="Times New Roman" w:hAnsi="Segoe UI" w:cs="Segoe UI"/>
          <w:szCs w:val="24"/>
          <w:lang w:eastAsia="es-CO"/>
        </w:rPr>
        <w:t>Los Acuerdos Anticipados de Precios pueden darse por terminados por: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a) </w:t>
      </w:r>
      <w:r w:rsidRPr="00CF2C96">
        <w:rPr>
          <w:rFonts w:ascii="Segoe UI" w:eastAsia="Times New Roman" w:hAnsi="Segoe UI" w:cs="Segoe UI"/>
          <w:b/>
          <w:bCs/>
          <w:szCs w:val="24"/>
          <w:lang w:eastAsia="es-CO"/>
        </w:rPr>
        <w:t xml:space="preserve">Cancelación por Incumplimiento. </w:t>
      </w:r>
      <w:r w:rsidRPr="00CF2C96">
        <w:rPr>
          <w:rFonts w:ascii="Segoe UI" w:eastAsia="Times New Roman" w:hAnsi="Segoe UI" w:cs="Segoe UI"/>
          <w:szCs w:val="24"/>
          <w:lang w:eastAsia="es-CO"/>
        </w:rPr>
        <w:t>Se presenta cuando la Dirección de Impuestos y Aduanas Nacionales establece que el contribuyente ha incumplido alguna de las condiciones pactadas en el Acuerdo, en cuyo caso lo dejará sin efecto mediante resolución debidamente motivada, en relación con las operaciones que se realicen con posterioridad al momento en el cual el contribuyente incumplió alguna de las condiciones pactadas;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b) </w:t>
      </w:r>
      <w:r w:rsidRPr="00CF2C96">
        <w:rPr>
          <w:rFonts w:ascii="Segoe UI" w:eastAsia="Times New Roman" w:hAnsi="Segoe UI" w:cs="Segoe UI"/>
          <w:b/>
          <w:bCs/>
          <w:szCs w:val="24"/>
          <w:lang w:eastAsia="es-CO"/>
        </w:rPr>
        <w:t xml:space="preserve">Cancelación por la no presentación de la solicitud de modificación. </w:t>
      </w:r>
      <w:r w:rsidRPr="00CF2C96">
        <w:rPr>
          <w:rFonts w:ascii="Segoe UI" w:eastAsia="Times New Roman" w:hAnsi="Segoe UI" w:cs="Segoe UI"/>
          <w:szCs w:val="24"/>
          <w:lang w:eastAsia="es-CO"/>
        </w:rPr>
        <w:t xml:space="preserve">Se presenta cuando la Dirección de Impuestos y Aduanas Nacionales establece que han surgido variaciones significativas en los supuestos considerados al momento de suscribir el acuerdo y el contribuyente dentro del término establecido en el </w:t>
      </w:r>
      <w:r w:rsidRPr="00CF2C96">
        <w:rPr>
          <w:rFonts w:ascii="Segoe UI" w:eastAsia="Times New Roman" w:hAnsi="Segoe UI" w:cs="Segoe UI"/>
          <w:szCs w:val="24"/>
          <w:lang w:eastAsia="es-CO"/>
        </w:rPr>
        <w:lastRenderedPageBreak/>
        <w:t>parágrafo 2° del artículo anterior, no presenta la correspondiente solicitud de modificación al Acuerdo o no expone ni comprueba suficientemente, por escrito las razones para no efectuar la modificación.</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La Dirección de Impuestos y Aduanas Nacionales dejará sin efecto el Acuerdo mediante resolución debidamente motivada, en relación con las operaciones que se realicen con posterioridad a las variaciones significativas en los supuestos;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c) </w:t>
      </w:r>
      <w:r w:rsidRPr="00CF2C96">
        <w:rPr>
          <w:rFonts w:ascii="Segoe UI" w:eastAsia="Times New Roman" w:hAnsi="Segoe UI" w:cs="Segoe UI"/>
          <w:b/>
          <w:bCs/>
          <w:szCs w:val="24"/>
          <w:lang w:eastAsia="es-CO"/>
        </w:rPr>
        <w:t xml:space="preserve">Revocatoria. </w:t>
      </w:r>
      <w:r w:rsidRPr="00CF2C96">
        <w:rPr>
          <w:rFonts w:ascii="Segoe UI" w:eastAsia="Times New Roman" w:hAnsi="Segoe UI" w:cs="Segoe UI"/>
          <w:szCs w:val="24"/>
          <w:lang w:eastAsia="es-CO"/>
        </w:rPr>
        <w:t>Se presenta cuando la Dirección de Impuestos y Aduanas Nacionales establece que durante cualquiera de las etapas de negociación o de suscripción del Acuerdo o durante la vigencia del mismo, el contribuyente suministró información que no corresponde con la realidad.</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En este caso, el Acuerdo quedará sin efecto a partir de la fecha de su suscripción mediante resolución debidamente motivada;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d) </w:t>
      </w:r>
      <w:r w:rsidRPr="00CF2C96">
        <w:rPr>
          <w:rFonts w:ascii="Segoe UI" w:eastAsia="Times New Roman" w:hAnsi="Segoe UI" w:cs="Segoe UI"/>
          <w:b/>
          <w:bCs/>
          <w:szCs w:val="24"/>
          <w:lang w:eastAsia="es-CO"/>
        </w:rPr>
        <w:t xml:space="preserve">Terminación por Mutuo Acuerdo. </w:t>
      </w:r>
      <w:r w:rsidRPr="00CF2C96">
        <w:rPr>
          <w:rFonts w:ascii="Segoe UI" w:eastAsia="Times New Roman" w:hAnsi="Segoe UI" w:cs="Segoe UI"/>
          <w:szCs w:val="24"/>
          <w:lang w:eastAsia="es-CO"/>
        </w:rPr>
        <w:t>Se presenta en cualquier momento durante el término de vigencia del Acuerdo, cuando las partes deciden darlo por terminado, de lo cual se dejará constancia en un Acta, contra la cual no procede recurso alguno.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w:t>
      </w:r>
      <w:r w:rsidRPr="00CF2C96">
        <w:rPr>
          <w:rFonts w:ascii="Segoe UI" w:eastAsia="Times New Roman" w:hAnsi="Segoe UI" w:cs="Segoe UI"/>
          <w:szCs w:val="24"/>
          <w:lang w:eastAsia="es-CO"/>
        </w:rPr>
        <w:t xml:space="preserve"> Contra las resoluciones de que tratan </w:t>
      </w:r>
      <w:proofErr w:type="gramStart"/>
      <w:r w:rsidRPr="00CF2C96">
        <w:rPr>
          <w:rFonts w:ascii="Segoe UI" w:eastAsia="Times New Roman" w:hAnsi="Segoe UI" w:cs="Segoe UI"/>
          <w:szCs w:val="24"/>
          <w:lang w:eastAsia="es-CO"/>
        </w:rPr>
        <w:t>los</w:t>
      </w:r>
      <w:proofErr w:type="gramEnd"/>
      <w:r w:rsidRPr="00CF2C96">
        <w:rPr>
          <w:rFonts w:ascii="Segoe UI" w:eastAsia="Times New Roman" w:hAnsi="Segoe UI" w:cs="Segoe UI"/>
          <w:szCs w:val="24"/>
          <w:lang w:eastAsia="es-CO"/>
        </w:rPr>
        <w:t xml:space="preserve"> literales a), b) y c) del presente artículo, procede dentro de los quince (15) días siguientes a su notificación, el recurso de reposición consagrado en el </w:t>
      </w:r>
      <w:hyperlink r:id="rId77" w:tooltip="Estatuto Tributario CETA" w:history="1">
        <w:r w:rsidRPr="00CF2C96">
          <w:rPr>
            <w:rFonts w:ascii="Segoe UI" w:eastAsia="Times New Roman" w:hAnsi="Segoe UI" w:cs="Segoe UI"/>
            <w:color w:val="0089E1"/>
            <w:szCs w:val="24"/>
            <w:lang w:eastAsia="es-CO"/>
          </w:rPr>
          <w:t>artículo 260-10</w:t>
        </w:r>
      </w:hyperlink>
      <w:r w:rsidRPr="00CF2C96">
        <w:rPr>
          <w:rFonts w:ascii="Segoe UI" w:eastAsia="Times New Roman" w:hAnsi="Segoe UI" w:cs="Segoe UI"/>
          <w:szCs w:val="24"/>
          <w:lang w:eastAsia="es-CO"/>
        </w:rPr>
        <w:t xml:space="preserve"> del Estatuto Tributario. La Administración Tributaria tendrá un término de dos (2) meses contados a partir de su interposición para resolver el recurso.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22.</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Informe sobre el Cumplimiento de los Términos y Condiciones del Acuerdo. </w:t>
      </w:r>
      <w:r w:rsidRPr="00CF2C96">
        <w:rPr>
          <w:rFonts w:ascii="Segoe UI" w:eastAsia="Times New Roman" w:hAnsi="Segoe UI" w:cs="Segoe UI"/>
          <w:szCs w:val="24"/>
          <w:lang w:eastAsia="es-CO"/>
        </w:rPr>
        <w:t xml:space="preserve">Simultáneamente en las mismas fechas que determine el Gobierno Nacional para la presentación de la declaración informativa de precios de transferencia de que trata el </w:t>
      </w:r>
      <w:hyperlink r:id="rId78" w:tooltip="Estatuto Tributario CETA" w:history="1">
        <w:r w:rsidRPr="00CF2C96">
          <w:rPr>
            <w:rFonts w:ascii="Segoe UI" w:eastAsia="Times New Roman" w:hAnsi="Segoe UI" w:cs="Segoe UI"/>
            <w:color w:val="0089E1"/>
            <w:szCs w:val="24"/>
            <w:lang w:eastAsia="es-CO"/>
          </w:rPr>
          <w:t>artículo 260-9</w:t>
        </w:r>
      </w:hyperlink>
      <w:r w:rsidRPr="00CF2C96">
        <w:rPr>
          <w:rFonts w:ascii="Segoe UI" w:eastAsia="Times New Roman" w:hAnsi="Segoe UI" w:cs="Segoe UI"/>
          <w:szCs w:val="24"/>
          <w:lang w:eastAsia="es-CO"/>
        </w:rPr>
        <w:t xml:space="preserve"> del Estatuto Tributario, los contribuyentes que hayan celebrado un Acuerdo Anticipado de Precios con la Dirección de Impuestos y Aduanas Nacionales y mientras el mismo surta sus efectos, deberán presentar, un informe dirigido al Director General de Impuestos y Aduanas Nacionales, en el que se demuestre la conformidad de sus operaciones con el Principio de Plena Competencia y con las condiciones previstas en el Acuerdo. El informe deberá contener: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a) Tipos de operación a los que ha sido aplicado el Acuerdo, que se hayan realizado en el período impositivo al que se refiere la declaración informativa;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b) Precios, montos de contraprestación o márgenes de utilidad a los que se han realizado los tipos de operación mencionadas en el literal anterior como resultado de la aplicación del Acuerdo;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c) Descripción de los supuestos fundamentales del acuerdo y la forma en que se siguen cumpliendo.</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szCs w:val="24"/>
          <w:lang w:eastAsia="es-CO"/>
        </w:rPr>
        <w:t>CAPÍTULO V</w:t>
      </w:r>
    </w:p>
    <w:p w:rsidR="00CF2C96" w:rsidRPr="00CF2C96" w:rsidRDefault="00CF2C96" w:rsidP="00CF2C96">
      <w:pPr>
        <w:adjustRightInd w:val="0"/>
        <w:spacing w:line="240" w:lineRule="auto"/>
        <w:jc w:val="center"/>
        <w:rPr>
          <w:rFonts w:eastAsia="Times New Roman"/>
          <w:szCs w:val="24"/>
          <w:lang w:eastAsia="es-CO"/>
        </w:rPr>
      </w:pPr>
      <w:r w:rsidRPr="00CF2C96">
        <w:rPr>
          <w:rFonts w:ascii="Segoe UI" w:eastAsia="Times New Roman" w:hAnsi="Segoe UI" w:cs="Segoe UI"/>
          <w:b/>
          <w:bCs/>
          <w:szCs w:val="24"/>
          <w:lang w:eastAsia="es-CO"/>
        </w:rPr>
        <w:t>Sanciones relacionadas con la documentación comprobatoria y la declaración informativa de Precios de Transferencia</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lastRenderedPageBreak/>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23.</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Documentación comprobatoria. </w:t>
      </w:r>
      <w:r w:rsidRPr="00CF2C96">
        <w:rPr>
          <w:rFonts w:ascii="Segoe UI" w:eastAsia="Times New Roman" w:hAnsi="Segoe UI" w:cs="Segoe UI"/>
          <w:szCs w:val="24"/>
          <w:lang w:eastAsia="es-CO"/>
        </w:rPr>
        <w:t xml:space="preserve">En atención a lo preceptuado en el artículo 197 de la Ley 1607 de 2012, según el cual en la aplicación de las sanciones a que se refiere el Régimen Tributario Nacional se deben atender los principios que allí se señalan, para efectos de la imposición de sanciones relacionadas con la documentación comprobatoria, no habrá lugar a aplicar la sanción por desconocimiento de costos y deducciones, si el contribuyente subsana en forma voluntaria y con anterioridad a la notificación de la liquidación de revisión, la omisión de que tratan los numerales 3 y 4 del literal a) del </w:t>
      </w:r>
      <w:hyperlink r:id="rId79" w:tooltip="Estatuto Tributario CETA" w:history="1">
        <w:r w:rsidRPr="00CF2C96">
          <w:rPr>
            <w:rFonts w:ascii="Segoe UI" w:eastAsia="Times New Roman" w:hAnsi="Segoe UI" w:cs="Segoe UI"/>
            <w:color w:val="0089E1"/>
            <w:szCs w:val="24"/>
            <w:lang w:eastAsia="es-CO"/>
          </w:rPr>
          <w:t>artículo 260-11</w:t>
        </w:r>
      </w:hyperlink>
      <w:r w:rsidRPr="00CF2C96">
        <w:rPr>
          <w:rFonts w:ascii="Segoe UI" w:eastAsia="Times New Roman" w:hAnsi="Segoe UI" w:cs="Segoe UI"/>
          <w:szCs w:val="24"/>
          <w:lang w:eastAsia="es-CO"/>
        </w:rPr>
        <w:t xml:space="preserve"> del Estatuto Tributario.</w:t>
      </w:r>
    </w:p>
    <w:p w:rsidR="00CF2C96" w:rsidRPr="00CF2C96" w:rsidRDefault="00CF2C96" w:rsidP="00CF2C96">
      <w:pPr>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Parágrafo.</w:t>
      </w:r>
      <w:r w:rsidRPr="00CF2C96">
        <w:rPr>
          <w:rFonts w:ascii="Segoe UI" w:eastAsia="Times New Roman" w:hAnsi="Segoe UI" w:cs="Segoe UI"/>
          <w:szCs w:val="24"/>
          <w:lang w:eastAsia="es-CO"/>
        </w:rPr>
        <w:t xml:space="preserve"> Sin perjuicio de lo anterior, cuando el contribuyente no presente la documentación comprobatoria de que trata el </w:t>
      </w:r>
      <w:hyperlink r:id="rId80" w:tooltip="Estatuto Tributario CETA" w:history="1">
        <w:r w:rsidRPr="00CF2C96">
          <w:rPr>
            <w:rFonts w:ascii="Segoe UI" w:eastAsia="Times New Roman" w:hAnsi="Segoe UI" w:cs="Segoe UI"/>
            <w:color w:val="0089E1"/>
            <w:szCs w:val="24"/>
            <w:lang w:eastAsia="es-CO"/>
          </w:rPr>
          <w:t>artículo 260-5</w:t>
        </w:r>
      </w:hyperlink>
      <w:r w:rsidRPr="00CF2C96">
        <w:rPr>
          <w:rFonts w:ascii="Segoe UI" w:eastAsia="Times New Roman" w:hAnsi="Segoe UI" w:cs="Segoe UI"/>
          <w:szCs w:val="24"/>
          <w:lang w:eastAsia="es-CO"/>
        </w:rPr>
        <w:t xml:space="preserve"> del Estatuto Tributario, habrá lugar al desconocimiento de costos y gastos.</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24.</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Declaración informativa. </w:t>
      </w:r>
      <w:r w:rsidRPr="00CF2C96">
        <w:rPr>
          <w:rFonts w:ascii="Segoe UI" w:eastAsia="Times New Roman" w:hAnsi="Segoe UI" w:cs="Segoe UI"/>
          <w:szCs w:val="24"/>
          <w:lang w:eastAsia="es-CO"/>
        </w:rPr>
        <w:t xml:space="preserve">En atención a lo preceptuado en el artículo 197 de la Ley 1607 de 2012, según el cual en la aplicación de las sanciones a que se refiere el Régimen Tributario Nacional se deben atender los principios que allí se señalan, para efectos de la imposición de sanciones relacionadas con la declaración informativa, no habrá lugar a aplicar la sanción por desconocimiento de costos y deducciones, si el contribuyente subsana en forma voluntaria y con anterioridad a la notificación de la liquidación de revisión, la omisión de que tratan los numerales 3 y 4 del literal B) del </w:t>
      </w:r>
      <w:hyperlink r:id="rId81" w:tooltip="Estatuto Tributario CETA" w:history="1">
        <w:r w:rsidRPr="00CF2C96">
          <w:rPr>
            <w:rFonts w:ascii="Segoe UI" w:eastAsia="Times New Roman" w:hAnsi="Segoe UI" w:cs="Segoe UI"/>
            <w:color w:val="0089E1"/>
            <w:szCs w:val="24"/>
            <w:lang w:eastAsia="es-CO"/>
          </w:rPr>
          <w:t>artículo 260-11</w:t>
        </w:r>
      </w:hyperlink>
      <w:r w:rsidRPr="00CF2C96">
        <w:rPr>
          <w:rFonts w:ascii="Segoe UI" w:eastAsia="Times New Roman" w:hAnsi="Segoe UI" w:cs="Segoe UI"/>
          <w:szCs w:val="24"/>
          <w:lang w:eastAsia="es-CO"/>
        </w:rPr>
        <w:t xml:space="preserve"> del Estatuto Tributario.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25.</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 xml:space="preserve">Sanción reducida en relación con la declaración informativa. </w:t>
      </w:r>
      <w:r w:rsidRPr="00CF2C96">
        <w:rPr>
          <w:rFonts w:ascii="Segoe UI" w:eastAsia="Times New Roman" w:hAnsi="Segoe UI" w:cs="Segoe UI"/>
          <w:szCs w:val="24"/>
          <w:lang w:eastAsia="es-CO"/>
        </w:rPr>
        <w:t xml:space="preserve">En atención a lo preceptuado en el artículo 197 de la Ley 1607 de 2012, según el cual en la aplicación de las sanciones a que se refiere el Régimen Tributario Nacional se deben atender los principios que allí se señalan, para efectos de la imposición de sanciones relacionadas con la declaración informativa y de conformidad con lo señalado en el parágrafo 1° del literal C) del </w:t>
      </w:r>
      <w:hyperlink r:id="rId82" w:tooltip="Estatuto Tributario CETA" w:history="1">
        <w:r w:rsidRPr="00CF2C96">
          <w:rPr>
            <w:rFonts w:ascii="Segoe UI" w:eastAsia="Times New Roman" w:hAnsi="Segoe UI" w:cs="Segoe UI"/>
            <w:color w:val="0089E1"/>
            <w:szCs w:val="24"/>
            <w:lang w:eastAsia="es-CO"/>
          </w:rPr>
          <w:t>artículo 260-11</w:t>
        </w:r>
      </w:hyperlink>
      <w:r w:rsidRPr="00CF2C96">
        <w:rPr>
          <w:rFonts w:ascii="Segoe UI" w:eastAsia="Times New Roman" w:hAnsi="Segoe UI" w:cs="Segoe UI"/>
          <w:szCs w:val="24"/>
          <w:lang w:eastAsia="es-CO"/>
        </w:rPr>
        <w:t xml:space="preserve"> del Estatuto Tributario, cuando el contribuyente no liquide las sanciones de que trata este artículo o las liquide incorrectamente, la Administración Tributaria, las liquidará incrementadas en un treinta por ciento (30%).</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De conformidad con el inciso 3° del numeral 6 del literal B) del </w:t>
      </w:r>
      <w:hyperlink r:id="rId83" w:tooltip="Estatuto Tributario CETA" w:history="1">
        <w:r w:rsidRPr="00CF2C96">
          <w:rPr>
            <w:rFonts w:ascii="Segoe UI" w:eastAsia="Times New Roman" w:hAnsi="Segoe UI" w:cs="Segoe UI"/>
            <w:color w:val="0089E1"/>
            <w:szCs w:val="24"/>
            <w:lang w:eastAsia="es-CO"/>
          </w:rPr>
          <w:t>artículo 260-11</w:t>
        </w:r>
      </w:hyperlink>
      <w:r w:rsidRPr="00CF2C96">
        <w:rPr>
          <w:rFonts w:ascii="Segoe UI" w:eastAsia="Times New Roman" w:hAnsi="Segoe UI" w:cs="Segoe UI"/>
          <w:szCs w:val="24"/>
          <w:lang w:eastAsia="es-CO"/>
        </w:rPr>
        <w:t xml:space="preserve"> el contribuyente podrá corregir voluntariamente la declaración informativa dentro de los dos (2) años siguientes contados a partir del vencimiento del plazo para declarar, autoliquidando las sanciones pecuniarias a que se refieren los numerales 2, 3 y 4 del literal B) del </w:t>
      </w:r>
      <w:hyperlink r:id="rId84" w:tooltip="Estatuto Tributario CETA" w:history="1">
        <w:r w:rsidRPr="00CF2C96">
          <w:rPr>
            <w:rFonts w:ascii="Segoe UI" w:eastAsia="Times New Roman" w:hAnsi="Segoe UI" w:cs="Segoe UI"/>
            <w:color w:val="0089E1"/>
            <w:szCs w:val="24"/>
            <w:lang w:eastAsia="es-CO"/>
          </w:rPr>
          <w:t>artículo 260-11</w:t>
        </w:r>
      </w:hyperlink>
      <w:r w:rsidRPr="00CF2C96">
        <w:rPr>
          <w:rFonts w:ascii="Segoe UI" w:eastAsia="Times New Roman" w:hAnsi="Segoe UI" w:cs="Segoe UI"/>
          <w:szCs w:val="24"/>
          <w:lang w:eastAsia="es-CO"/>
        </w:rPr>
        <w:t xml:space="preserve"> del Estatuto Tributario, reducidas al cincuenta por ciento (50%), si las inconsistencias u omisiones son subsanadas voluntariamente por el contribuyente, antes de la notificación del pliego de cargos o del requerimiento especial, según el caso.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Las correcciones efectuadas bajo los parámetros antes descritos, no se tendrán en cuenta a efectos de la aplicación de la sanción por comportamiento reincidente de que trata el literal C) del </w:t>
      </w:r>
      <w:hyperlink r:id="rId85" w:tooltip="Estatuto Tributario CETA" w:history="1">
        <w:r w:rsidRPr="00CF2C96">
          <w:rPr>
            <w:rFonts w:ascii="Segoe UI" w:eastAsia="Times New Roman" w:hAnsi="Segoe UI" w:cs="Segoe UI"/>
            <w:color w:val="0089E1"/>
            <w:szCs w:val="24"/>
            <w:lang w:eastAsia="es-CO"/>
          </w:rPr>
          <w:t>artículo 260-11</w:t>
        </w:r>
      </w:hyperlink>
      <w:r w:rsidRPr="00CF2C96">
        <w:rPr>
          <w:rFonts w:ascii="Segoe UI" w:eastAsia="Times New Roman" w:hAnsi="Segoe UI" w:cs="Segoe UI"/>
          <w:szCs w:val="24"/>
          <w:lang w:eastAsia="es-CO"/>
        </w:rPr>
        <w:t xml:space="preserve"> del Estatuto Tributario.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lastRenderedPageBreak/>
        <w:t>Parágrafo.</w:t>
      </w:r>
      <w:r w:rsidRPr="00CF2C96">
        <w:rPr>
          <w:rFonts w:ascii="Segoe UI" w:eastAsia="Times New Roman" w:hAnsi="Segoe UI" w:cs="Segoe UI"/>
          <w:szCs w:val="24"/>
          <w:lang w:eastAsia="es-CO"/>
        </w:rPr>
        <w:t xml:space="preserve"> En la presentación extemporánea de la declaración informativa a que hace referencia en numeral 1 del literal B) del </w:t>
      </w:r>
      <w:hyperlink r:id="rId86" w:tooltip="Estatuto Tributario CETA" w:history="1">
        <w:r w:rsidRPr="00CF2C96">
          <w:rPr>
            <w:rFonts w:ascii="Segoe UI" w:eastAsia="Times New Roman" w:hAnsi="Segoe UI" w:cs="Segoe UI"/>
            <w:color w:val="0089E1"/>
            <w:szCs w:val="24"/>
            <w:lang w:eastAsia="es-CO"/>
          </w:rPr>
          <w:t>artículo 260-11</w:t>
        </w:r>
      </w:hyperlink>
      <w:r w:rsidRPr="00CF2C96">
        <w:rPr>
          <w:rFonts w:ascii="Segoe UI" w:eastAsia="Times New Roman" w:hAnsi="Segoe UI" w:cs="Segoe UI"/>
          <w:szCs w:val="24"/>
          <w:lang w:eastAsia="es-CO"/>
        </w:rPr>
        <w:t xml:space="preserve"> del Estatuto Tributario, el contribuyente podrá autoliquidar las sanciones a que haya lugar.</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xml:space="preserve">Cuando el contribuyente presente extemporáneamente la declaración informativa de precios de transferencia y liquide correctamente la sanción por extemporaneidad antes de la notificación del emplazamiento para declarar o del pliego de cargos, no se tendrá en cuenta dicha declaración extemporánea a efectos de la aplicación de la sanción por comportamiento reincidente de que trata el literal C) del </w:t>
      </w:r>
      <w:hyperlink r:id="rId87" w:tooltip="Estatuto Tributario CETA" w:history="1">
        <w:r w:rsidRPr="00CF2C96">
          <w:rPr>
            <w:rFonts w:ascii="Segoe UI" w:eastAsia="Times New Roman" w:hAnsi="Segoe UI" w:cs="Segoe UI"/>
            <w:color w:val="0089E1"/>
            <w:szCs w:val="24"/>
            <w:lang w:eastAsia="es-CO"/>
          </w:rPr>
          <w:t>artículo 260-11</w:t>
        </w:r>
      </w:hyperlink>
      <w:r w:rsidRPr="00CF2C96">
        <w:rPr>
          <w:rFonts w:ascii="Segoe UI" w:eastAsia="Times New Roman" w:hAnsi="Segoe UI" w:cs="Segoe UI"/>
          <w:szCs w:val="24"/>
          <w:lang w:eastAsia="es-CO"/>
        </w:rPr>
        <w:t xml:space="preserve"> del Estatuto Tributario.</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Artículo 26.</w:t>
      </w:r>
      <w:r w:rsidRPr="00CF2C96">
        <w:rPr>
          <w:rFonts w:ascii="Segoe UI" w:eastAsia="Times New Roman" w:hAnsi="Segoe UI" w:cs="Segoe UI"/>
          <w:szCs w:val="24"/>
          <w:lang w:eastAsia="es-CO"/>
        </w:rPr>
        <w:t xml:space="preserve"> </w:t>
      </w:r>
      <w:r w:rsidRPr="00CF2C96">
        <w:rPr>
          <w:rFonts w:ascii="Segoe UI" w:eastAsia="Times New Roman" w:hAnsi="Segoe UI" w:cs="Segoe UI"/>
          <w:i/>
          <w:iCs/>
          <w:szCs w:val="24"/>
          <w:lang w:eastAsia="es-CO"/>
        </w:rPr>
        <w:t>Vigencia</w:t>
      </w:r>
      <w:r w:rsidRPr="00CF2C96">
        <w:rPr>
          <w:rFonts w:ascii="Segoe UI" w:eastAsia="Times New Roman" w:hAnsi="Segoe UI" w:cs="Segoe UI"/>
          <w:szCs w:val="24"/>
          <w:lang w:eastAsia="es-CO"/>
        </w:rPr>
        <w:t>. El presente decreto rige a partir de la fecha de su publicación y deroga las normas que le sean contrarias, en especial, el Decreto número 4349 de 2004.</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 </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b/>
          <w:szCs w:val="24"/>
          <w:lang w:eastAsia="es-CO"/>
        </w:rPr>
        <w:t>Publíquese y cúmplase.</w:t>
      </w:r>
    </w:p>
    <w:p w:rsidR="00CF2C96" w:rsidRPr="00CF2C96" w:rsidRDefault="00CF2C96" w:rsidP="00CF2C96">
      <w:pPr>
        <w:adjustRightInd w:val="0"/>
        <w:spacing w:line="240" w:lineRule="auto"/>
        <w:rPr>
          <w:rFonts w:eastAsia="Times New Roman"/>
          <w:szCs w:val="24"/>
          <w:lang w:eastAsia="es-CO"/>
        </w:rPr>
      </w:pPr>
      <w:r w:rsidRPr="00CF2C96">
        <w:rPr>
          <w:rFonts w:ascii="Segoe UI" w:eastAsia="Times New Roman" w:hAnsi="Segoe UI" w:cs="Segoe UI"/>
          <w:szCs w:val="24"/>
          <w:lang w:eastAsia="es-CO"/>
        </w:rPr>
        <w:t>Dado en Bogotá, D. C., a 27 de diciembre de 2013.</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inheri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96"/>
    <w:rsid w:val="00A067C7"/>
    <w:rsid w:val="00B51D80"/>
    <w:rsid w:val="00CF2C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F2C96"/>
    <w:pPr>
      <w:spacing w:after="285" w:line="240" w:lineRule="auto"/>
      <w:jc w:val="left"/>
      <w:outlineLvl w:val="0"/>
    </w:pPr>
    <w:rPr>
      <w:rFonts w:eastAsia="Times New Roman"/>
      <w:b/>
      <w:bCs/>
      <w:kern w:val="36"/>
      <w:sz w:val="47"/>
      <w:szCs w:val="47"/>
      <w:lang w:eastAsia="es-CO"/>
    </w:rPr>
  </w:style>
  <w:style w:type="paragraph" w:styleId="Ttulo2">
    <w:name w:val="heading 2"/>
    <w:basedOn w:val="Normal"/>
    <w:link w:val="Ttulo2Car"/>
    <w:uiPriority w:val="9"/>
    <w:qFormat/>
    <w:rsid w:val="00CF2C96"/>
    <w:pPr>
      <w:spacing w:after="285" w:line="240" w:lineRule="auto"/>
      <w:jc w:val="left"/>
      <w:outlineLvl w:val="1"/>
    </w:pPr>
    <w:rPr>
      <w:rFonts w:eastAsia="Times New Roman"/>
      <w:b/>
      <w:bCs/>
      <w:sz w:val="36"/>
      <w:szCs w:val="36"/>
      <w:lang w:eastAsia="es-CO"/>
    </w:rPr>
  </w:style>
  <w:style w:type="paragraph" w:styleId="Ttulo3">
    <w:name w:val="heading 3"/>
    <w:basedOn w:val="Normal"/>
    <w:link w:val="Ttulo3Car"/>
    <w:uiPriority w:val="9"/>
    <w:qFormat/>
    <w:rsid w:val="00CF2C96"/>
    <w:pPr>
      <w:spacing w:after="285" w:line="240" w:lineRule="auto"/>
      <w:jc w:val="left"/>
      <w:outlineLvl w:val="2"/>
    </w:pPr>
    <w:rPr>
      <w:rFonts w:eastAsia="Times New Roman"/>
      <w:b/>
      <w:bCs/>
      <w:sz w:val="27"/>
      <w:szCs w:val="27"/>
      <w:lang w:eastAsia="es-CO"/>
    </w:rPr>
  </w:style>
  <w:style w:type="paragraph" w:styleId="Ttulo4">
    <w:name w:val="heading 4"/>
    <w:basedOn w:val="Normal"/>
    <w:link w:val="Ttulo4Car"/>
    <w:uiPriority w:val="9"/>
    <w:qFormat/>
    <w:rsid w:val="00CF2C96"/>
    <w:pPr>
      <w:spacing w:after="285" w:line="240" w:lineRule="auto"/>
      <w:jc w:val="left"/>
      <w:outlineLvl w:val="3"/>
    </w:pPr>
    <w:rPr>
      <w:rFonts w:eastAsia="Times New Roman"/>
      <w:b/>
      <w:bCs/>
      <w:szCs w:val="24"/>
      <w:lang w:eastAsia="es-CO"/>
    </w:rPr>
  </w:style>
  <w:style w:type="paragraph" w:styleId="Ttulo5">
    <w:name w:val="heading 5"/>
    <w:basedOn w:val="Normal"/>
    <w:link w:val="Ttulo5Car"/>
    <w:uiPriority w:val="9"/>
    <w:qFormat/>
    <w:rsid w:val="00CF2C96"/>
    <w:pPr>
      <w:spacing w:after="285" w:line="240" w:lineRule="auto"/>
      <w:jc w:val="left"/>
      <w:outlineLvl w:val="4"/>
    </w:pPr>
    <w:rPr>
      <w:rFonts w:eastAsia="Times New Roman"/>
      <w:b/>
      <w:bCs/>
      <w:sz w:val="20"/>
      <w:szCs w:val="20"/>
      <w:lang w:eastAsia="es-CO"/>
    </w:rPr>
  </w:style>
  <w:style w:type="paragraph" w:styleId="Ttulo6">
    <w:name w:val="heading 6"/>
    <w:basedOn w:val="Normal"/>
    <w:link w:val="Ttulo6Car"/>
    <w:uiPriority w:val="9"/>
    <w:qFormat/>
    <w:rsid w:val="00CF2C96"/>
    <w:pPr>
      <w:spacing w:after="285" w:line="240" w:lineRule="auto"/>
      <w:jc w:val="left"/>
      <w:outlineLvl w:val="5"/>
    </w:pPr>
    <w:rPr>
      <w:rFonts w:eastAsia="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2C96"/>
    <w:rPr>
      <w:rFonts w:eastAsia="Times New Roman"/>
      <w:b/>
      <w:bCs/>
      <w:kern w:val="36"/>
      <w:sz w:val="47"/>
      <w:szCs w:val="47"/>
      <w:lang w:eastAsia="es-CO"/>
    </w:rPr>
  </w:style>
  <w:style w:type="character" w:customStyle="1" w:styleId="Ttulo2Car">
    <w:name w:val="Título 2 Car"/>
    <w:basedOn w:val="Fuentedeprrafopredeter"/>
    <w:link w:val="Ttulo2"/>
    <w:uiPriority w:val="9"/>
    <w:rsid w:val="00CF2C96"/>
    <w:rPr>
      <w:rFonts w:eastAsia="Times New Roman"/>
      <w:b/>
      <w:bCs/>
      <w:sz w:val="36"/>
      <w:szCs w:val="36"/>
      <w:lang w:eastAsia="es-CO"/>
    </w:rPr>
  </w:style>
  <w:style w:type="character" w:customStyle="1" w:styleId="Ttulo3Car">
    <w:name w:val="Título 3 Car"/>
    <w:basedOn w:val="Fuentedeprrafopredeter"/>
    <w:link w:val="Ttulo3"/>
    <w:uiPriority w:val="9"/>
    <w:rsid w:val="00CF2C96"/>
    <w:rPr>
      <w:rFonts w:eastAsia="Times New Roman"/>
      <w:b/>
      <w:bCs/>
      <w:sz w:val="27"/>
      <w:szCs w:val="27"/>
      <w:lang w:eastAsia="es-CO"/>
    </w:rPr>
  </w:style>
  <w:style w:type="character" w:customStyle="1" w:styleId="Ttulo4Car">
    <w:name w:val="Título 4 Car"/>
    <w:basedOn w:val="Fuentedeprrafopredeter"/>
    <w:link w:val="Ttulo4"/>
    <w:uiPriority w:val="9"/>
    <w:rsid w:val="00CF2C96"/>
    <w:rPr>
      <w:rFonts w:eastAsia="Times New Roman"/>
      <w:b/>
      <w:bCs/>
      <w:szCs w:val="24"/>
      <w:lang w:eastAsia="es-CO"/>
    </w:rPr>
  </w:style>
  <w:style w:type="character" w:customStyle="1" w:styleId="Ttulo5Car">
    <w:name w:val="Título 5 Car"/>
    <w:basedOn w:val="Fuentedeprrafopredeter"/>
    <w:link w:val="Ttulo5"/>
    <w:uiPriority w:val="9"/>
    <w:rsid w:val="00CF2C96"/>
    <w:rPr>
      <w:rFonts w:eastAsia="Times New Roman"/>
      <w:b/>
      <w:bCs/>
      <w:sz w:val="20"/>
      <w:szCs w:val="20"/>
      <w:lang w:eastAsia="es-CO"/>
    </w:rPr>
  </w:style>
  <w:style w:type="character" w:customStyle="1" w:styleId="Ttulo6Car">
    <w:name w:val="Título 6 Car"/>
    <w:basedOn w:val="Fuentedeprrafopredeter"/>
    <w:link w:val="Ttulo6"/>
    <w:uiPriority w:val="9"/>
    <w:rsid w:val="00CF2C96"/>
    <w:rPr>
      <w:rFonts w:eastAsia="Times New Roman"/>
      <w:b/>
      <w:bCs/>
      <w:sz w:val="15"/>
      <w:szCs w:val="15"/>
      <w:lang w:eastAsia="es-CO"/>
    </w:rPr>
  </w:style>
  <w:style w:type="numbering" w:customStyle="1" w:styleId="Sinlista1">
    <w:name w:val="Sin lista1"/>
    <w:next w:val="Sinlista"/>
    <w:uiPriority w:val="99"/>
    <w:semiHidden/>
    <w:unhideWhenUsed/>
    <w:rsid w:val="00CF2C96"/>
  </w:style>
  <w:style w:type="character" w:styleId="Hipervnculo">
    <w:name w:val="Hyperlink"/>
    <w:basedOn w:val="Fuentedeprrafopredeter"/>
    <w:uiPriority w:val="99"/>
    <w:semiHidden/>
    <w:unhideWhenUsed/>
    <w:rsid w:val="00CF2C96"/>
    <w:rPr>
      <w:strike w:val="0"/>
      <w:dstrike w:val="0"/>
      <w:color w:val="0089E1"/>
      <w:u w:val="none"/>
      <w:effect w:val="none"/>
    </w:rPr>
  </w:style>
  <w:style w:type="character" w:styleId="Hipervnculovisitado">
    <w:name w:val="FollowedHyperlink"/>
    <w:basedOn w:val="Fuentedeprrafopredeter"/>
    <w:uiPriority w:val="99"/>
    <w:semiHidden/>
    <w:unhideWhenUsed/>
    <w:rsid w:val="00CF2C96"/>
    <w:rPr>
      <w:strike w:val="0"/>
      <w:dstrike w:val="0"/>
      <w:color w:val="0089E1"/>
      <w:u w:val="none"/>
      <w:effect w:val="none"/>
    </w:rPr>
  </w:style>
  <w:style w:type="paragraph" w:styleId="DireccinHTML">
    <w:name w:val="HTML Address"/>
    <w:basedOn w:val="Normal"/>
    <w:link w:val="DireccinHTMLCar"/>
    <w:uiPriority w:val="99"/>
    <w:semiHidden/>
    <w:unhideWhenUsed/>
    <w:rsid w:val="00CF2C96"/>
    <w:pPr>
      <w:spacing w:line="240" w:lineRule="auto"/>
      <w:jc w:val="left"/>
    </w:pPr>
    <w:rPr>
      <w:rFonts w:eastAsia="Times New Roman"/>
      <w:i/>
      <w:iCs/>
      <w:szCs w:val="24"/>
      <w:lang w:eastAsia="es-CO"/>
    </w:rPr>
  </w:style>
  <w:style w:type="character" w:customStyle="1" w:styleId="DireccinHTMLCar">
    <w:name w:val="Dirección HTML Car"/>
    <w:basedOn w:val="Fuentedeprrafopredeter"/>
    <w:link w:val="DireccinHTML"/>
    <w:uiPriority w:val="99"/>
    <w:semiHidden/>
    <w:rsid w:val="00CF2C96"/>
    <w:rPr>
      <w:rFonts w:eastAsia="Times New Roman"/>
      <w:i/>
      <w:iCs/>
      <w:szCs w:val="24"/>
      <w:lang w:eastAsia="es-CO"/>
    </w:rPr>
  </w:style>
  <w:style w:type="paragraph" w:styleId="HTMLconformatoprevio">
    <w:name w:val="HTML Preformatted"/>
    <w:basedOn w:val="Normal"/>
    <w:link w:val="HTMLconformatoprevioCar"/>
    <w:uiPriority w:val="99"/>
    <w:semiHidden/>
    <w:unhideWhenUsed/>
    <w:rsid w:val="00CF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CF2C96"/>
    <w:rPr>
      <w:rFonts w:ascii="Courier New" w:eastAsia="Times New Roman" w:hAnsi="Courier New" w:cs="Courier New"/>
      <w:sz w:val="20"/>
      <w:szCs w:val="20"/>
      <w:lang w:eastAsia="es-CO"/>
    </w:rPr>
  </w:style>
  <w:style w:type="paragraph" w:styleId="NormalWeb">
    <w:name w:val="Normal (Web)"/>
    <w:basedOn w:val="Normal"/>
    <w:uiPriority w:val="99"/>
    <w:semiHidden/>
    <w:unhideWhenUsed/>
    <w:rsid w:val="00CF2C96"/>
    <w:pPr>
      <w:spacing w:after="285" w:line="240" w:lineRule="auto"/>
      <w:jc w:val="left"/>
    </w:pPr>
    <w:rPr>
      <w:rFonts w:eastAsia="Times New Roman"/>
      <w:szCs w:val="24"/>
      <w:lang w:eastAsia="es-CO"/>
    </w:rPr>
  </w:style>
  <w:style w:type="paragraph" w:customStyle="1" w:styleId="highlight">
    <w:name w:val="highlight"/>
    <w:basedOn w:val="Normal"/>
    <w:rsid w:val="00CF2C96"/>
    <w:pPr>
      <w:shd w:val="clear" w:color="auto" w:fill="FFFF40"/>
      <w:spacing w:after="285" w:line="240" w:lineRule="auto"/>
      <w:jc w:val="left"/>
    </w:pPr>
    <w:rPr>
      <w:rFonts w:eastAsia="Times New Roman"/>
      <w:szCs w:val="24"/>
      <w:lang w:eastAsia="es-CO"/>
    </w:rPr>
  </w:style>
  <w:style w:type="paragraph" w:customStyle="1" w:styleId="cluetip-arrows">
    <w:name w:val="cluetip-arrows"/>
    <w:basedOn w:val="Normal"/>
    <w:rsid w:val="00CF2C96"/>
    <w:pPr>
      <w:spacing w:after="285" w:line="240" w:lineRule="auto"/>
      <w:jc w:val="left"/>
    </w:pPr>
    <w:rPr>
      <w:rFonts w:eastAsia="Times New Roman"/>
      <w:vanish/>
      <w:szCs w:val="24"/>
      <w:lang w:eastAsia="es-CO"/>
    </w:rPr>
  </w:style>
  <w:style w:type="paragraph" w:customStyle="1" w:styleId="cluetip-default">
    <w:name w:val="cluetip-default"/>
    <w:basedOn w:val="Normal"/>
    <w:rsid w:val="00CF2C96"/>
    <w:pPr>
      <w:pBdr>
        <w:top w:val="single" w:sz="6" w:space="0" w:color="808080"/>
        <w:left w:val="single" w:sz="6" w:space="0" w:color="808080"/>
        <w:bottom w:val="single" w:sz="6" w:space="0" w:color="808080"/>
        <w:right w:val="single" w:sz="6" w:space="0" w:color="808080"/>
      </w:pBdr>
      <w:shd w:val="clear" w:color="auto" w:fill="EBEBEB"/>
      <w:spacing w:after="285" w:line="240" w:lineRule="auto"/>
      <w:jc w:val="left"/>
    </w:pPr>
    <w:rPr>
      <w:rFonts w:ascii="Segoe UI" w:eastAsia="Times New Roman" w:hAnsi="Segoe UI" w:cs="Segoe UI"/>
      <w:szCs w:val="24"/>
      <w:lang w:eastAsia="es-CO"/>
    </w:rPr>
  </w:style>
  <w:style w:type="paragraph" w:customStyle="1" w:styleId="cluetip-jtip">
    <w:name w:val="cluetip-jtip"/>
    <w:basedOn w:val="Normal"/>
    <w:rsid w:val="00CF2C96"/>
    <w:pPr>
      <w:spacing w:after="285" w:line="240" w:lineRule="auto"/>
      <w:jc w:val="left"/>
    </w:pPr>
    <w:rPr>
      <w:rFonts w:eastAsia="Times New Roman"/>
      <w:szCs w:val="24"/>
      <w:lang w:eastAsia="es-CO"/>
    </w:rPr>
  </w:style>
  <w:style w:type="paragraph" w:customStyle="1" w:styleId="cluetip-rounded">
    <w:name w:val="cluetip-rounded"/>
    <w:basedOn w:val="Normal"/>
    <w:rsid w:val="00CF2C96"/>
    <w:pPr>
      <w:spacing w:before="150" w:after="285" w:line="240" w:lineRule="auto"/>
      <w:ind w:left="180"/>
      <w:jc w:val="left"/>
    </w:pPr>
    <w:rPr>
      <w:rFonts w:eastAsia="Times New Roman"/>
      <w:szCs w:val="24"/>
      <w:lang w:eastAsia="es-CO"/>
    </w:rPr>
  </w:style>
  <w:style w:type="paragraph" w:customStyle="1" w:styleId="navbarul">
    <w:name w:val="navbar_ul"/>
    <w:basedOn w:val="Normal"/>
    <w:rsid w:val="00CF2C96"/>
    <w:pPr>
      <w:spacing w:line="240" w:lineRule="auto"/>
      <w:jc w:val="left"/>
    </w:pPr>
    <w:rPr>
      <w:rFonts w:eastAsia="Times New Roman"/>
      <w:szCs w:val="24"/>
      <w:lang w:eastAsia="es-CO"/>
    </w:rPr>
  </w:style>
  <w:style w:type="paragraph" w:customStyle="1" w:styleId="navbarli">
    <w:name w:val="navbar_li"/>
    <w:basedOn w:val="Normal"/>
    <w:rsid w:val="00CF2C96"/>
    <w:pPr>
      <w:spacing w:line="240" w:lineRule="auto"/>
      <w:jc w:val="left"/>
    </w:pPr>
    <w:rPr>
      <w:rFonts w:eastAsia="Times New Roman"/>
      <w:szCs w:val="24"/>
      <w:lang w:eastAsia="es-CO"/>
    </w:rPr>
  </w:style>
  <w:style w:type="paragraph" w:customStyle="1" w:styleId="navbara">
    <w:name w:val="navbar_a"/>
    <w:basedOn w:val="Normal"/>
    <w:rsid w:val="00CF2C96"/>
    <w:pPr>
      <w:spacing w:line="240" w:lineRule="auto"/>
      <w:jc w:val="left"/>
    </w:pPr>
    <w:rPr>
      <w:rFonts w:eastAsia="Times New Roman"/>
      <w:szCs w:val="24"/>
      <w:lang w:eastAsia="es-CO"/>
    </w:rPr>
  </w:style>
  <w:style w:type="paragraph" w:customStyle="1" w:styleId="nof-positioning">
    <w:name w:val="nof-positioning"/>
    <w:basedOn w:val="Normal"/>
    <w:rsid w:val="00CF2C96"/>
    <w:pPr>
      <w:spacing w:line="240" w:lineRule="auto"/>
      <w:jc w:val="left"/>
    </w:pPr>
    <w:rPr>
      <w:rFonts w:ascii="inherit" w:eastAsia="Times New Roman" w:hAnsi="inherit"/>
      <w:szCs w:val="24"/>
      <w:lang w:eastAsia="es-CO"/>
    </w:rPr>
  </w:style>
  <w:style w:type="paragraph" w:customStyle="1" w:styleId="nof-navpositioning">
    <w:name w:val="nof-navpositioning"/>
    <w:basedOn w:val="Normal"/>
    <w:rsid w:val="00CF2C96"/>
    <w:pPr>
      <w:spacing w:line="240" w:lineRule="auto"/>
      <w:jc w:val="left"/>
    </w:pPr>
    <w:rPr>
      <w:rFonts w:eastAsia="Times New Roman"/>
      <w:szCs w:val="24"/>
      <w:lang w:eastAsia="es-CO"/>
    </w:rPr>
  </w:style>
  <w:style w:type="paragraph" w:customStyle="1" w:styleId="nof-navbuttonanchor">
    <w:name w:val="nof-navbuttonanchor"/>
    <w:basedOn w:val="Normal"/>
    <w:rsid w:val="00CF2C96"/>
    <w:pPr>
      <w:spacing w:line="240" w:lineRule="auto"/>
      <w:jc w:val="left"/>
    </w:pPr>
    <w:rPr>
      <w:rFonts w:eastAsia="Times New Roman"/>
      <w:szCs w:val="24"/>
      <w:lang w:eastAsia="es-CO"/>
    </w:rPr>
  </w:style>
  <w:style w:type="paragraph" w:customStyle="1" w:styleId="nof-ajaxtemplatehide">
    <w:name w:val="nof-ajaxtemplatehide"/>
    <w:basedOn w:val="Normal"/>
    <w:rsid w:val="00CF2C96"/>
    <w:pPr>
      <w:shd w:val="clear" w:color="auto" w:fill="FFFFFF"/>
      <w:spacing w:after="285" w:line="240" w:lineRule="auto"/>
      <w:jc w:val="left"/>
    </w:pPr>
    <w:rPr>
      <w:rFonts w:eastAsia="Times New Roman"/>
      <w:color w:val="FFFFFF"/>
      <w:szCs w:val="24"/>
      <w:lang w:eastAsia="es-CO"/>
    </w:rPr>
  </w:style>
  <w:style w:type="paragraph" w:customStyle="1" w:styleId="entidadess">
    <w:name w:val="entidadess"/>
    <w:basedOn w:val="Normal"/>
    <w:rsid w:val="00CF2C96"/>
    <w:pPr>
      <w:spacing w:after="285" w:line="240" w:lineRule="auto"/>
      <w:jc w:val="left"/>
    </w:pPr>
    <w:rPr>
      <w:rFonts w:eastAsia="Times New Roman"/>
      <w:b/>
      <w:bCs/>
      <w:color w:val="00BF00"/>
      <w:szCs w:val="24"/>
      <w:lang w:eastAsia="es-CO"/>
    </w:rPr>
  </w:style>
  <w:style w:type="paragraph" w:customStyle="1" w:styleId="t21">
    <w:name w:val="t21"/>
    <w:basedOn w:val="Normal"/>
    <w:rsid w:val="00CF2C96"/>
    <w:pPr>
      <w:spacing w:after="285" w:line="240" w:lineRule="auto"/>
      <w:jc w:val="left"/>
    </w:pPr>
    <w:rPr>
      <w:rFonts w:ascii="Segoe UI" w:eastAsia="Times New Roman" w:hAnsi="Segoe UI" w:cs="Segoe UI"/>
      <w:sz w:val="32"/>
      <w:szCs w:val="32"/>
      <w:lang w:eastAsia="es-CO"/>
    </w:rPr>
  </w:style>
  <w:style w:type="paragraph" w:customStyle="1" w:styleId="menuopcion">
    <w:name w:val="menuopcion"/>
    <w:basedOn w:val="Normal"/>
    <w:rsid w:val="00CF2C96"/>
    <w:pPr>
      <w:spacing w:after="285" w:line="240" w:lineRule="auto"/>
      <w:jc w:val="left"/>
    </w:pPr>
    <w:rPr>
      <w:rFonts w:ascii="Segoe UI" w:eastAsia="Times New Roman" w:hAnsi="Segoe UI" w:cs="Segoe UI"/>
      <w:color w:val="000000"/>
      <w:sz w:val="18"/>
      <w:szCs w:val="18"/>
      <w:lang w:eastAsia="es-CO"/>
    </w:rPr>
  </w:style>
  <w:style w:type="paragraph" w:customStyle="1" w:styleId="textomenu">
    <w:name w:val="textomenu"/>
    <w:basedOn w:val="Normal"/>
    <w:rsid w:val="00CF2C96"/>
    <w:pPr>
      <w:spacing w:after="285" w:line="240" w:lineRule="auto"/>
      <w:jc w:val="left"/>
    </w:pPr>
    <w:rPr>
      <w:rFonts w:ascii="Segoe UI" w:eastAsia="Times New Roman" w:hAnsi="Segoe UI" w:cs="Segoe UI"/>
      <w:color w:val="000000"/>
      <w:sz w:val="17"/>
      <w:szCs w:val="17"/>
      <w:lang w:eastAsia="es-CO"/>
    </w:rPr>
  </w:style>
  <w:style w:type="paragraph" w:customStyle="1" w:styleId="t32">
    <w:name w:val="t32"/>
    <w:basedOn w:val="Normal"/>
    <w:rsid w:val="00CF2C96"/>
    <w:pPr>
      <w:spacing w:after="285" w:line="240" w:lineRule="auto"/>
      <w:jc w:val="left"/>
    </w:pPr>
    <w:rPr>
      <w:rFonts w:ascii="Segoe UI" w:eastAsia="Times New Roman" w:hAnsi="Segoe UI" w:cs="Segoe UI"/>
      <w:sz w:val="48"/>
      <w:szCs w:val="48"/>
      <w:lang w:eastAsia="es-CO"/>
    </w:rPr>
  </w:style>
  <w:style w:type="paragraph" w:customStyle="1" w:styleId="textocetadia">
    <w:name w:val="textocetadia"/>
    <w:basedOn w:val="Normal"/>
    <w:rsid w:val="00CF2C96"/>
    <w:pPr>
      <w:spacing w:after="285" w:line="240" w:lineRule="auto"/>
      <w:jc w:val="left"/>
    </w:pPr>
    <w:rPr>
      <w:rFonts w:ascii="Segoe UI" w:eastAsia="Times New Roman" w:hAnsi="Segoe UI" w:cs="Segoe UI"/>
      <w:color w:val="4D4D4D"/>
      <w:sz w:val="21"/>
      <w:szCs w:val="21"/>
      <w:lang w:eastAsia="es-CO"/>
    </w:rPr>
  </w:style>
  <w:style w:type="paragraph" w:customStyle="1" w:styleId="enlacesinazulsub">
    <w:name w:val="enlacesinazulsub"/>
    <w:basedOn w:val="Normal"/>
    <w:rsid w:val="00CF2C96"/>
    <w:pPr>
      <w:spacing w:after="285" w:line="240" w:lineRule="auto"/>
      <w:jc w:val="left"/>
    </w:pPr>
    <w:rPr>
      <w:rFonts w:eastAsia="Times New Roman"/>
      <w:color w:val="000000"/>
      <w:szCs w:val="24"/>
      <w:lang w:eastAsia="es-CO"/>
    </w:rPr>
  </w:style>
  <w:style w:type="paragraph" w:customStyle="1" w:styleId="linksimple">
    <w:name w:val="linksimple"/>
    <w:basedOn w:val="Normal"/>
    <w:rsid w:val="00CF2C96"/>
    <w:pPr>
      <w:spacing w:after="285" w:line="240" w:lineRule="auto"/>
      <w:jc w:val="left"/>
    </w:pPr>
    <w:rPr>
      <w:rFonts w:eastAsia="Times New Roman"/>
      <w:szCs w:val="24"/>
      <w:lang w:eastAsia="es-CO"/>
    </w:rPr>
  </w:style>
  <w:style w:type="paragraph" w:customStyle="1" w:styleId="mfr">
    <w:name w:val="mfr"/>
    <w:basedOn w:val="Normal"/>
    <w:rsid w:val="00CF2C96"/>
    <w:pPr>
      <w:spacing w:after="285" w:line="240" w:lineRule="auto"/>
      <w:jc w:val="left"/>
    </w:pPr>
    <w:rPr>
      <w:rFonts w:ascii="Segoe UI" w:eastAsia="Times New Roman" w:hAnsi="Segoe UI" w:cs="Segoe UI"/>
      <w:sz w:val="17"/>
      <w:szCs w:val="17"/>
      <w:lang w:eastAsia="es-CO"/>
    </w:rPr>
  </w:style>
  <w:style w:type="paragraph" w:customStyle="1" w:styleId="textocetaarial">
    <w:name w:val="textocetaarial"/>
    <w:basedOn w:val="Normal"/>
    <w:rsid w:val="00CF2C96"/>
    <w:pPr>
      <w:spacing w:after="285" w:line="240" w:lineRule="auto"/>
      <w:jc w:val="left"/>
    </w:pPr>
    <w:rPr>
      <w:rFonts w:ascii="Arial" w:eastAsia="Times New Roman" w:hAnsi="Arial" w:cs="Arial"/>
      <w:sz w:val="18"/>
      <w:szCs w:val="18"/>
      <w:lang w:eastAsia="es-CO"/>
    </w:rPr>
  </w:style>
  <w:style w:type="paragraph" w:customStyle="1" w:styleId="t22">
    <w:name w:val="t22"/>
    <w:basedOn w:val="Normal"/>
    <w:rsid w:val="00CF2C96"/>
    <w:pPr>
      <w:spacing w:after="285" w:line="240" w:lineRule="auto"/>
      <w:jc w:val="left"/>
    </w:pPr>
    <w:rPr>
      <w:rFonts w:ascii="Segoe UI" w:eastAsia="Times New Roman" w:hAnsi="Segoe UI" w:cs="Segoe UI"/>
      <w:sz w:val="33"/>
      <w:szCs w:val="33"/>
      <w:lang w:eastAsia="es-CO"/>
    </w:rPr>
  </w:style>
  <w:style w:type="paragraph" w:customStyle="1" w:styleId="titulocetagrande">
    <w:name w:val="titulocetagrande"/>
    <w:basedOn w:val="Normal"/>
    <w:rsid w:val="00CF2C96"/>
    <w:pPr>
      <w:spacing w:after="285" w:line="240" w:lineRule="auto"/>
      <w:jc w:val="left"/>
    </w:pPr>
    <w:rPr>
      <w:rFonts w:ascii="Segoe UI" w:eastAsia="Times New Roman" w:hAnsi="Segoe UI" w:cs="Segoe UI"/>
      <w:b/>
      <w:bCs/>
      <w:sz w:val="27"/>
      <w:szCs w:val="27"/>
      <w:lang w:eastAsia="es-CO"/>
    </w:rPr>
  </w:style>
  <w:style w:type="paragraph" w:customStyle="1" w:styleId="tabb">
    <w:name w:val="tabb"/>
    <w:basedOn w:val="Normal"/>
    <w:rsid w:val="00CF2C96"/>
    <w:pPr>
      <w:spacing w:after="285" w:line="240" w:lineRule="auto"/>
      <w:jc w:val="center"/>
    </w:pPr>
    <w:rPr>
      <w:rFonts w:ascii="Segoe UI" w:eastAsia="Times New Roman" w:hAnsi="Segoe UI" w:cs="Segoe UI"/>
      <w:b/>
      <w:bCs/>
      <w:color w:val="ECEDEE"/>
      <w:sz w:val="21"/>
      <w:szCs w:val="21"/>
      <w:lang w:eastAsia="es-CO"/>
    </w:rPr>
  </w:style>
  <w:style w:type="paragraph" w:customStyle="1" w:styleId="introlema">
    <w:name w:val="introlema"/>
    <w:basedOn w:val="Normal"/>
    <w:rsid w:val="00CF2C96"/>
    <w:pPr>
      <w:spacing w:after="285" w:line="240" w:lineRule="auto"/>
      <w:jc w:val="left"/>
    </w:pPr>
    <w:rPr>
      <w:rFonts w:ascii="Segoe UI" w:eastAsia="Times New Roman" w:hAnsi="Segoe UI" w:cs="Segoe UI"/>
      <w:sz w:val="17"/>
      <w:szCs w:val="17"/>
      <w:lang w:eastAsia="es-CO"/>
    </w:rPr>
  </w:style>
  <w:style w:type="paragraph" w:customStyle="1" w:styleId="subtabb">
    <w:name w:val="subtabb"/>
    <w:basedOn w:val="Normal"/>
    <w:rsid w:val="00CF2C96"/>
    <w:pPr>
      <w:spacing w:after="285" w:line="240" w:lineRule="auto"/>
      <w:jc w:val="center"/>
    </w:pPr>
    <w:rPr>
      <w:rFonts w:ascii="Segoe UI" w:eastAsia="Times New Roman" w:hAnsi="Segoe UI" w:cs="Segoe UI"/>
      <w:color w:val="99CCFF"/>
      <w:sz w:val="23"/>
      <w:szCs w:val="23"/>
      <w:lang w:eastAsia="es-CO"/>
    </w:rPr>
  </w:style>
  <w:style w:type="paragraph" w:customStyle="1" w:styleId="t18">
    <w:name w:val="t18"/>
    <w:basedOn w:val="Normal"/>
    <w:rsid w:val="00CF2C96"/>
    <w:pPr>
      <w:spacing w:after="285" w:line="240" w:lineRule="auto"/>
      <w:jc w:val="left"/>
    </w:pPr>
    <w:rPr>
      <w:rFonts w:ascii="Segoe UI" w:eastAsia="Times New Roman" w:hAnsi="Segoe UI" w:cs="Segoe UI"/>
      <w:sz w:val="27"/>
      <w:szCs w:val="27"/>
      <w:lang w:eastAsia="es-CO"/>
    </w:rPr>
  </w:style>
  <w:style w:type="paragraph" w:customStyle="1" w:styleId="fondoazul">
    <w:name w:val="fondoazul"/>
    <w:basedOn w:val="Normal"/>
    <w:rsid w:val="00CF2C96"/>
    <w:pPr>
      <w:shd w:val="clear" w:color="auto" w:fill="3366CC"/>
      <w:spacing w:after="285" w:line="240" w:lineRule="auto"/>
      <w:jc w:val="left"/>
    </w:pPr>
    <w:rPr>
      <w:rFonts w:eastAsia="Times New Roman"/>
      <w:b/>
      <w:bCs/>
      <w:color w:val="FFFFFF"/>
      <w:szCs w:val="24"/>
      <w:lang w:eastAsia="es-CO"/>
    </w:rPr>
  </w:style>
  <w:style w:type="paragraph" w:customStyle="1" w:styleId="txtcetatah">
    <w:name w:val="txtcetatah"/>
    <w:basedOn w:val="Normal"/>
    <w:rsid w:val="00CF2C96"/>
    <w:pPr>
      <w:spacing w:after="285" w:line="240" w:lineRule="auto"/>
      <w:jc w:val="left"/>
    </w:pPr>
    <w:rPr>
      <w:rFonts w:ascii="Segoe UI" w:eastAsia="Times New Roman" w:hAnsi="Segoe UI" w:cs="Segoe UI"/>
      <w:sz w:val="17"/>
      <w:szCs w:val="17"/>
      <w:lang w:eastAsia="es-CO"/>
    </w:rPr>
  </w:style>
  <w:style w:type="paragraph" w:customStyle="1" w:styleId="textomenu2">
    <w:name w:val="textomenu2"/>
    <w:basedOn w:val="Normal"/>
    <w:rsid w:val="00CF2C96"/>
    <w:pPr>
      <w:pBdr>
        <w:top w:val="single" w:sz="8" w:space="0" w:color="E6E6E6"/>
        <w:left w:val="single" w:sz="8" w:space="0" w:color="E6E6E6"/>
        <w:bottom w:val="single" w:sz="8" w:space="0" w:color="E6E6E6"/>
        <w:right w:val="single" w:sz="8" w:space="0" w:color="E6E6E6"/>
      </w:pBdr>
      <w:spacing w:after="285" w:line="240" w:lineRule="auto"/>
      <w:jc w:val="left"/>
    </w:pPr>
    <w:rPr>
      <w:rFonts w:eastAsia="Times New Roman"/>
      <w:szCs w:val="24"/>
      <w:lang w:eastAsia="es-CO"/>
    </w:rPr>
  </w:style>
  <w:style w:type="paragraph" w:customStyle="1" w:styleId="tab2">
    <w:name w:val="tab2"/>
    <w:basedOn w:val="Normal"/>
    <w:rsid w:val="00CF2C96"/>
    <w:pPr>
      <w:spacing w:after="285" w:line="240" w:lineRule="auto"/>
      <w:jc w:val="center"/>
    </w:pPr>
    <w:rPr>
      <w:rFonts w:ascii="Segoe UI" w:eastAsia="Times New Roman" w:hAnsi="Segoe UI" w:cs="Segoe UI"/>
      <w:b/>
      <w:bCs/>
      <w:color w:val="ECEDEE"/>
      <w:sz w:val="21"/>
      <w:szCs w:val="21"/>
      <w:lang w:eastAsia="es-CO"/>
    </w:rPr>
  </w:style>
  <w:style w:type="paragraph" w:customStyle="1" w:styleId="enlacesmainh">
    <w:name w:val="enlacesmainh"/>
    <w:basedOn w:val="Normal"/>
    <w:rsid w:val="00CF2C96"/>
    <w:pPr>
      <w:shd w:val="clear" w:color="auto" w:fill="6CBD47"/>
      <w:spacing w:after="285" w:line="240" w:lineRule="auto"/>
      <w:jc w:val="left"/>
    </w:pPr>
    <w:rPr>
      <w:rFonts w:eastAsia="Times New Roman"/>
      <w:szCs w:val="24"/>
      <w:lang w:eastAsia="es-CO"/>
    </w:rPr>
  </w:style>
  <w:style w:type="paragraph" w:customStyle="1" w:styleId="busquedarapida">
    <w:name w:val="busquedarapida"/>
    <w:basedOn w:val="Normal"/>
    <w:rsid w:val="00CF2C96"/>
    <w:pPr>
      <w:spacing w:after="285" w:line="240" w:lineRule="auto"/>
      <w:jc w:val="left"/>
    </w:pPr>
    <w:rPr>
      <w:rFonts w:ascii="Segoe UI" w:eastAsia="Times New Roman" w:hAnsi="Segoe UI" w:cs="Segoe UI"/>
      <w:sz w:val="20"/>
      <w:szCs w:val="20"/>
      <w:lang w:eastAsia="es-CO"/>
    </w:rPr>
  </w:style>
  <w:style w:type="paragraph" w:customStyle="1" w:styleId="taba">
    <w:name w:val="taba"/>
    <w:basedOn w:val="Normal"/>
    <w:rsid w:val="00CF2C96"/>
    <w:pPr>
      <w:spacing w:after="285" w:line="240" w:lineRule="auto"/>
      <w:jc w:val="center"/>
    </w:pPr>
    <w:rPr>
      <w:rFonts w:ascii="Segoe UI" w:eastAsia="Times New Roman" w:hAnsi="Segoe UI" w:cs="Segoe UI"/>
      <w:b/>
      <w:bCs/>
      <w:color w:val="FFFFFF"/>
      <w:sz w:val="21"/>
      <w:szCs w:val="21"/>
      <w:lang w:eastAsia="es-CO"/>
    </w:rPr>
  </w:style>
  <w:style w:type="paragraph" w:customStyle="1" w:styleId="enlaceframe">
    <w:name w:val="enlaceframe"/>
    <w:basedOn w:val="Normal"/>
    <w:rsid w:val="00CF2C96"/>
    <w:pPr>
      <w:spacing w:before="45" w:after="45" w:line="240" w:lineRule="auto"/>
      <w:ind w:left="45" w:right="45"/>
      <w:jc w:val="left"/>
    </w:pPr>
    <w:rPr>
      <w:rFonts w:eastAsia="Times New Roman"/>
      <w:szCs w:val="24"/>
      <w:lang w:eastAsia="es-CO"/>
    </w:rPr>
  </w:style>
  <w:style w:type="paragraph" w:customStyle="1" w:styleId="titulosceta">
    <w:name w:val="titulosceta"/>
    <w:basedOn w:val="Normal"/>
    <w:rsid w:val="00CF2C96"/>
    <w:pPr>
      <w:spacing w:after="285" w:line="240" w:lineRule="auto"/>
      <w:jc w:val="left"/>
    </w:pPr>
    <w:rPr>
      <w:rFonts w:ascii="Segoe UI" w:eastAsia="Times New Roman" w:hAnsi="Segoe UI" w:cs="Segoe UI"/>
      <w:b/>
      <w:bCs/>
      <w:sz w:val="21"/>
      <w:szCs w:val="21"/>
      <w:lang w:eastAsia="es-CO"/>
    </w:rPr>
  </w:style>
  <w:style w:type="paragraph" w:customStyle="1" w:styleId="subtaba">
    <w:name w:val="subtaba"/>
    <w:basedOn w:val="Normal"/>
    <w:rsid w:val="00CF2C96"/>
    <w:pPr>
      <w:spacing w:after="285" w:line="240" w:lineRule="auto"/>
      <w:jc w:val="center"/>
    </w:pPr>
    <w:rPr>
      <w:rFonts w:ascii="Segoe UI" w:eastAsia="Times New Roman" w:hAnsi="Segoe UI" w:cs="Segoe UI"/>
      <w:b/>
      <w:bCs/>
      <w:color w:val="C8C8C8"/>
      <w:sz w:val="20"/>
      <w:szCs w:val="20"/>
      <w:lang w:eastAsia="es-CO"/>
    </w:rPr>
  </w:style>
  <w:style w:type="paragraph" w:customStyle="1" w:styleId="campoformulario">
    <w:name w:val="campoformulario"/>
    <w:basedOn w:val="Normal"/>
    <w:rsid w:val="00CF2C96"/>
    <w:pPr>
      <w:shd w:val="clear" w:color="auto" w:fill="EBEBEB"/>
      <w:spacing w:after="285" w:line="240" w:lineRule="auto"/>
      <w:jc w:val="left"/>
    </w:pPr>
    <w:rPr>
      <w:rFonts w:eastAsia="Times New Roman"/>
      <w:b/>
      <w:bCs/>
      <w:caps/>
      <w:sz w:val="17"/>
      <w:szCs w:val="17"/>
      <w:lang w:eastAsia="es-CO"/>
    </w:rPr>
  </w:style>
  <w:style w:type="paragraph" w:customStyle="1" w:styleId="etmuns">
    <w:name w:val="etmuns"/>
    <w:basedOn w:val="Normal"/>
    <w:rsid w:val="00CF2C96"/>
    <w:pPr>
      <w:spacing w:after="285" w:line="240" w:lineRule="auto"/>
      <w:jc w:val="left"/>
    </w:pPr>
    <w:rPr>
      <w:rFonts w:eastAsia="Times New Roman"/>
      <w:b/>
      <w:bCs/>
      <w:color w:val="00BF00"/>
      <w:szCs w:val="24"/>
      <w:lang w:eastAsia="es-CO"/>
    </w:rPr>
  </w:style>
  <w:style w:type="paragraph" w:customStyle="1" w:styleId="t42">
    <w:name w:val="t42"/>
    <w:basedOn w:val="Normal"/>
    <w:rsid w:val="00CF2C96"/>
    <w:pPr>
      <w:spacing w:after="285" w:line="240" w:lineRule="auto"/>
      <w:jc w:val="left"/>
    </w:pPr>
    <w:rPr>
      <w:rFonts w:ascii="Segoe UI" w:eastAsia="Times New Roman" w:hAnsi="Segoe UI" w:cs="Segoe UI"/>
      <w:sz w:val="48"/>
      <w:szCs w:val="48"/>
      <w:lang w:eastAsia="es-CO"/>
    </w:rPr>
  </w:style>
  <w:style w:type="paragraph" w:customStyle="1" w:styleId="mop">
    <w:name w:val="mop"/>
    <w:basedOn w:val="Normal"/>
    <w:rsid w:val="00CF2C96"/>
    <w:pPr>
      <w:spacing w:after="285" w:line="240" w:lineRule="auto"/>
      <w:jc w:val="left"/>
    </w:pPr>
    <w:rPr>
      <w:rFonts w:eastAsia="Times New Roman"/>
      <w:color w:val="EEEEEE"/>
      <w:szCs w:val="24"/>
      <w:lang w:eastAsia="es-CO"/>
    </w:rPr>
  </w:style>
  <w:style w:type="paragraph" w:customStyle="1" w:styleId="t14">
    <w:name w:val="t14"/>
    <w:basedOn w:val="Normal"/>
    <w:rsid w:val="00CF2C96"/>
    <w:pPr>
      <w:spacing w:after="285" w:line="240" w:lineRule="auto"/>
      <w:jc w:val="left"/>
    </w:pPr>
    <w:rPr>
      <w:rFonts w:ascii="Segoe UI" w:eastAsia="Times New Roman" w:hAnsi="Segoe UI" w:cs="Segoe UI"/>
      <w:sz w:val="21"/>
      <w:szCs w:val="21"/>
      <w:lang w:eastAsia="es-CO"/>
    </w:rPr>
  </w:style>
  <w:style w:type="paragraph" w:customStyle="1" w:styleId="tab1">
    <w:name w:val="tab1"/>
    <w:basedOn w:val="Normal"/>
    <w:rsid w:val="00CF2C96"/>
    <w:pPr>
      <w:spacing w:after="285" w:line="240" w:lineRule="auto"/>
      <w:jc w:val="center"/>
    </w:pPr>
    <w:rPr>
      <w:rFonts w:ascii="Segoe UI" w:eastAsia="Times New Roman" w:hAnsi="Segoe UI" w:cs="Segoe UI"/>
      <w:b/>
      <w:bCs/>
      <w:color w:val="FFFFFF"/>
      <w:sz w:val="21"/>
      <w:szCs w:val="21"/>
      <w:lang w:eastAsia="es-CO"/>
    </w:rPr>
  </w:style>
  <w:style w:type="paragraph" w:customStyle="1" w:styleId="enlacenew">
    <w:name w:val="enlacenew"/>
    <w:basedOn w:val="Normal"/>
    <w:rsid w:val="00CF2C96"/>
    <w:pPr>
      <w:spacing w:after="285" w:line="240" w:lineRule="auto"/>
      <w:jc w:val="left"/>
    </w:pPr>
    <w:rPr>
      <w:rFonts w:ascii="Arial" w:eastAsia="Times New Roman" w:hAnsi="Arial" w:cs="Arial"/>
      <w:color w:val="000000"/>
      <w:sz w:val="21"/>
      <w:szCs w:val="21"/>
      <w:lang w:eastAsia="es-CO"/>
    </w:rPr>
  </w:style>
  <w:style w:type="paragraph" w:customStyle="1" w:styleId="menuceta">
    <w:name w:val="menuceta"/>
    <w:basedOn w:val="Normal"/>
    <w:rsid w:val="00CF2C96"/>
    <w:pPr>
      <w:pBdr>
        <w:top w:val="single" w:sz="8" w:space="0" w:color="000000"/>
        <w:left w:val="single" w:sz="8" w:space="0" w:color="000000"/>
        <w:bottom w:val="single" w:sz="8" w:space="0" w:color="000000"/>
        <w:right w:val="single" w:sz="8" w:space="0" w:color="000000"/>
      </w:pBdr>
      <w:shd w:val="clear" w:color="auto" w:fill="CCCCCC"/>
      <w:spacing w:after="285" w:line="240" w:lineRule="auto"/>
      <w:jc w:val="left"/>
    </w:pPr>
    <w:rPr>
      <w:rFonts w:ascii="Segoe UI" w:eastAsia="Times New Roman" w:hAnsi="Segoe UI" w:cs="Segoe UI"/>
      <w:sz w:val="17"/>
      <w:szCs w:val="17"/>
      <w:lang w:eastAsia="es-CO"/>
    </w:rPr>
  </w:style>
  <w:style w:type="paragraph" w:customStyle="1" w:styleId="chiquitaceta">
    <w:name w:val="chiquitaceta"/>
    <w:basedOn w:val="Normal"/>
    <w:rsid w:val="00CF2C96"/>
    <w:pPr>
      <w:spacing w:after="285" w:line="240" w:lineRule="auto"/>
      <w:jc w:val="left"/>
    </w:pPr>
    <w:rPr>
      <w:rFonts w:ascii="Segoe UI" w:eastAsia="Times New Roman" w:hAnsi="Segoe UI" w:cs="Segoe UI"/>
      <w:sz w:val="15"/>
      <w:szCs w:val="15"/>
      <w:lang w:eastAsia="es-CO"/>
    </w:rPr>
  </w:style>
  <w:style w:type="paragraph" w:customStyle="1" w:styleId="t15">
    <w:name w:val="t15"/>
    <w:basedOn w:val="Normal"/>
    <w:rsid w:val="00CF2C96"/>
    <w:pPr>
      <w:spacing w:after="285" w:line="240" w:lineRule="auto"/>
      <w:jc w:val="left"/>
    </w:pPr>
    <w:rPr>
      <w:rFonts w:ascii="Segoe UI" w:eastAsia="Times New Roman" w:hAnsi="Segoe UI" w:cs="Segoe UI"/>
      <w:sz w:val="23"/>
      <w:szCs w:val="23"/>
      <w:lang w:eastAsia="es-CO"/>
    </w:rPr>
  </w:style>
  <w:style w:type="paragraph" w:customStyle="1" w:styleId="introtit">
    <w:name w:val="introtit"/>
    <w:basedOn w:val="Normal"/>
    <w:rsid w:val="00CF2C96"/>
    <w:pPr>
      <w:spacing w:after="285" w:line="240" w:lineRule="auto"/>
      <w:jc w:val="left"/>
    </w:pPr>
    <w:rPr>
      <w:rFonts w:ascii="Segoe UI" w:eastAsia="Times New Roman" w:hAnsi="Segoe UI" w:cs="Segoe UI"/>
      <w:b/>
      <w:bCs/>
      <w:sz w:val="36"/>
      <w:szCs w:val="36"/>
      <w:lang w:eastAsia="es-CO"/>
    </w:rPr>
  </w:style>
  <w:style w:type="paragraph" w:customStyle="1" w:styleId="otrotitulo2">
    <w:name w:val="otrotitulo2"/>
    <w:basedOn w:val="Normal"/>
    <w:rsid w:val="00CF2C96"/>
    <w:pPr>
      <w:spacing w:after="285" w:line="240" w:lineRule="auto"/>
      <w:jc w:val="left"/>
    </w:pPr>
    <w:rPr>
      <w:rFonts w:ascii="Segoe UI" w:eastAsia="Times New Roman" w:hAnsi="Segoe UI" w:cs="Segoe UI"/>
      <w:sz w:val="27"/>
      <w:szCs w:val="27"/>
      <w:lang w:eastAsia="es-CO"/>
    </w:rPr>
  </w:style>
  <w:style w:type="paragraph" w:customStyle="1" w:styleId="mtt">
    <w:name w:val="mtt"/>
    <w:basedOn w:val="Normal"/>
    <w:rsid w:val="00CF2C96"/>
    <w:pPr>
      <w:shd w:val="clear" w:color="auto" w:fill="ECE6D3"/>
      <w:spacing w:after="285" w:line="240" w:lineRule="auto"/>
      <w:jc w:val="left"/>
    </w:pPr>
    <w:rPr>
      <w:rFonts w:ascii="Segoe UI" w:eastAsia="Times New Roman" w:hAnsi="Segoe UI" w:cs="Segoe UI"/>
      <w:b/>
      <w:bCs/>
      <w:sz w:val="17"/>
      <w:szCs w:val="17"/>
      <w:lang w:eastAsia="es-CO"/>
    </w:rPr>
  </w:style>
  <w:style w:type="paragraph" w:customStyle="1" w:styleId="otrotitulo">
    <w:name w:val="otrotitulo"/>
    <w:basedOn w:val="Normal"/>
    <w:rsid w:val="00CF2C96"/>
    <w:pPr>
      <w:spacing w:after="285" w:line="240" w:lineRule="auto"/>
      <w:jc w:val="left"/>
    </w:pPr>
    <w:rPr>
      <w:rFonts w:ascii="Arial" w:eastAsia="Times New Roman" w:hAnsi="Arial" w:cs="Arial"/>
      <w:b/>
      <w:bCs/>
      <w:sz w:val="27"/>
      <w:szCs w:val="27"/>
      <w:lang w:eastAsia="es-CO"/>
    </w:rPr>
  </w:style>
  <w:style w:type="paragraph" w:customStyle="1" w:styleId="enlacesmains">
    <w:name w:val="enlacesmains"/>
    <w:basedOn w:val="Normal"/>
    <w:rsid w:val="00CF2C96"/>
    <w:pPr>
      <w:shd w:val="clear" w:color="auto" w:fill="0074B3"/>
      <w:spacing w:after="285" w:line="240" w:lineRule="auto"/>
      <w:jc w:val="left"/>
    </w:pPr>
    <w:rPr>
      <w:rFonts w:eastAsia="Times New Roman"/>
      <w:szCs w:val="24"/>
      <w:lang w:eastAsia="es-CO"/>
    </w:rPr>
  </w:style>
  <w:style w:type="paragraph" w:customStyle="1" w:styleId="t16">
    <w:name w:val="t16"/>
    <w:basedOn w:val="Normal"/>
    <w:rsid w:val="00CF2C96"/>
    <w:pPr>
      <w:spacing w:after="285" w:line="240" w:lineRule="auto"/>
      <w:jc w:val="left"/>
    </w:pPr>
    <w:rPr>
      <w:rFonts w:ascii="Segoe UI" w:eastAsia="Times New Roman" w:hAnsi="Segoe UI" w:cs="Segoe UI"/>
      <w:szCs w:val="24"/>
      <w:lang w:eastAsia="es-CO"/>
    </w:rPr>
  </w:style>
  <w:style w:type="paragraph" w:customStyle="1" w:styleId="documentoceta">
    <w:name w:val="documentoceta"/>
    <w:basedOn w:val="Normal"/>
    <w:rsid w:val="00CF2C96"/>
    <w:pPr>
      <w:spacing w:after="285" w:line="240" w:lineRule="auto"/>
    </w:pPr>
    <w:rPr>
      <w:rFonts w:ascii="Arial" w:eastAsia="Times New Roman" w:hAnsi="Arial" w:cs="Arial"/>
      <w:sz w:val="18"/>
      <w:szCs w:val="18"/>
      <w:lang w:eastAsia="es-CO"/>
    </w:rPr>
  </w:style>
  <w:style w:type="paragraph" w:customStyle="1" w:styleId="titulos2ceta">
    <w:name w:val="titulos2ceta"/>
    <w:basedOn w:val="Normal"/>
    <w:rsid w:val="00CF2C96"/>
    <w:pPr>
      <w:spacing w:after="285" w:line="240" w:lineRule="auto"/>
      <w:jc w:val="left"/>
    </w:pPr>
    <w:rPr>
      <w:rFonts w:ascii="Segoe UI" w:eastAsia="Times New Roman" w:hAnsi="Segoe UI" w:cs="Segoe UI"/>
      <w:b/>
      <w:bCs/>
      <w:sz w:val="20"/>
      <w:szCs w:val="20"/>
      <w:lang w:eastAsia="es-CO"/>
    </w:rPr>
  </w:style>
  <w:style w:type="paragraph" w:customStyle="1" w:styleId="textocetasmall">
    <w:name w:val="textocetasmall"/>
    <w:basedOn w:val="Normal"/>
    <w:rsid w:val="00CF2C96"/>
    <w:pPr>
      <w:spacing w:after="285" w:line="240" w:lineRule="auto"/>
      <w:jc w:val="left"/>
    </w:pPr>
    <w:rPr>
      <w:rFonts w:ascii="Segoe UI" w:eastAsia="Times New Roman" w:hAnsi="Segoe UI" w:cs="Segoe UI"/>
      <w:sz w:val="14"/>
      <w:szCs w:val="14"/>
      <w:lang w:eastAsia="es-CO"/>
    </w:rPr>
  </w:style>
  <w:style w:type="paragraph" w:customStyle="1" w:styleId="t10">
    <w:name w:val="t10"/>
    <w:basedOn w:val="Normal"/>
    <w:rsid w:val="00CF2C96"/>
    <w:pPr>
      <w:spacing w:after="285" w:line="240" w:lineRule="auto"/>
      <w:jc w:val="left"/>
    </w:pPr>
    <w:rPr>
      <w:rFonts w:ascii="Segoe UI" w:eastAsia="Times New Roman" w:hAnsi="Segoe UI" w:cs="Segoe UI"/>
      <w:sz w:val="15"/>
      <w:szCs w:val="15"/>
      <w:lang w:eastAsia="es-CO"/>
    </w:rPr>
  </w:style>
  <w:style w:type="paragraph" w:customStyle="1" w:styleId="t11">
    <w:name w:val="t11"/>
    <w:basedOn w:val="Normal"/>
    <w:rsid w:val="00CF2C96"/>
    <w:pPr>
      <w:spacing w:after="285" w:line="240" w:lineRule="auto"/>
      <w:jc w:val="left"/>
    </w:pPr>
    <w:rPr>
      <w:rFonts w:ascii="Segoe UI" w:eastAsia="Times New Roman" w:hAnsi="Segoe UI" w:cs="Segoe UI"/>
      <w:sz w:val="17"/>
      <w:szCs w:val="17"/>
      <w:lang w:eastAsia="es-CO"/>
    </w:rPr>
  </w:style>
  <w:style w:type="paragraph" w:customStyle="1" w:styleId="t12">
    <w:name w:val="t12"/>
    <w:basedOn w:val="Normal"/>
    <w:rsid w:val="00CF2C96"/>
    <w:pPr>
      <w:spacing w:after="285" w:line="240" w:lineRule="auto"/>
      <w:jc w:val="left"/>
    </w:pPr>
    <w:rPr>
      <w:rFonts w:ascii="Segoe UI" w:eastAsia="Times New Roman" w:hAnsi="Segoe UI" w:cs="Segoe UI"/>
      <w:sz w:val="18"/>
      <w:szCs w:val="18"/>
      <w:lang w:eastAsia="es-CO"/>
    </w:rPr>
  </w:style>
  <w:style w:type="paragraph" w:customStyle="1" w:styleId="newtitulos">
    <w:name w:val="newtitulos"/>
    <w:basedOn w:val="Normal"/>
    <w:rsid w:val="00CF2C96"/>
    <w:pPr>
      <w:spacing w:after="285" w:line="750" w:lineRule="atLeast"/>
      <w:jc w:val="left"/>
    </w:pPr>
    <w:rPr>
      <w:rFonts w:ascii="Segoe UI" w:eastAsia="Times New Roman" w:hAnsi="Segoe UI" w:cs="Segoe UI"/>
      <w:color w:val="00478E"/>
      <w:sz w:val="83"/>
      <w:szCs w:val="83"/>
      <w:lang w:eastAsia="es-CO"/>
    </w:rPr>
  </w:style>
  <w:style w:type="paragraph" w:customStyle="1" w:styleId="imagenbordenegro">
    <w:name w:val="imagenbordenegro"/>
    <w:basedOn w:val="Normal"/>
    <w:rsid w:val="00CF2C96"/>
    <w:pPr>
      <w:pBdr>
        <w:top w:val="single" w:sz="8" w:space="0" w:color="000000"/>
        <w:left w:val="single" w:sz="8" w:space="0" w:color="000000"/>
        <w:bottom w:val="single" w:sz="8" w:space="0" w:color="000000"/>
        <w:right w:val="single" w:sz="8" w:space="0" w:color="000000"/>
      </w:pBdr>
      <w:spacing w:after="285" w:line="240" w:lineRule="auto"/>
      <w:jc w:val="left"/>
    </w:pPr>
    <w:rPr>
      <w:rFonts w:eastAsia="Times New Roman"/>
      <w:szCs w:val="24"/>
      <w:lang w:eastAsia="es-CO"/>
    </w:rPr>
  </w:style>
  <w:style w:type="paragraph" w:customStyle="1" w:styleId="t13">
    <w:name w:val="t13"/>
    <w:basedOn w:val="Normal"/>
    <w:rsid w:val="00CF2C96"/>
    <w:pPr>
      <w:spacing w:after="285" w:line="240" w:lineRule="auto"/>
      <w:jc w:val="left"/>
    </w:pPr>
    <w:rPr>
      <w:rFonts w:ascii="Segoe UI" w:eastAsia="Times New Roman" w:hAnsi="Segoe UI" w:cs="Segoe UI"/>
      <w:sz w:val="20"/>
      <w:szCs w:val="20"/>
      <w:lang w:eastAsia="es-CO"/>
    </w:rPr>
  </w:style>
  <w:style w:type="paragraph" w:customStyle="1" w:styleId="t26">
    <w:name w:val="t26"/>
    <w:basedOn w:val="Normal"/>
    <w:rsid w:val="00CF2C96"/>
    <w:pPr>
      <w:spacing w:after="285" w:line="240" w:lineRule="auto"/>
      <w:jc w:val="left"/>
    </w:pPr>
    <w:rPr>
      <w:rFonts w:ascii="Segoe UI" w:eastAsia="Times New Roman" w:hAnsi="Segoe UI" w:cs="Segoe UI"/>
      <w:sz w:val="39"/>
      <w:szCs w:val="39"/>
      <w:lang w:eastAsia="es-CO"/>
    </w:rPr>
  </w:style>
  <w:style w:type="paragraph" w:customStyle="1" w:styleId="menutitulo">
    <w:name w:val="menutitulo"/>
    <w:basedOn w:val="Normal"/>
    <w:rsid w:val="00CF2C96"/>
    <w:pPr>
      <w:spacing w:after="285" w:line="240" w:lineRule="auto"/>
      <w:jc w:val="left"/>
    </w:pPr>
    <w:rPr>
      <w:rFonts w:ascii="Segoe UI" w:eastAsia="Times New Roman" w:hAnsi="Segoe UI" w:cs="Segoe UI"/>
      <w:b/>
      <w:bCs/>
      <w:color w:val="000000"/>
      <w:sz w:val="18"/>
      <w:szCs w:val="18"/>
      <w:lang w:eastAsia="es-CO"/>
    </w:rPr>
  </w:style>
  <w:style w:type="paragraph" w:customStyle="1" w:styleId="textoceta">
    <w:name w:val="textoceta"/>
    <w:basedOn w:val="Normal"/>
    <w:rsid w:val="00CF2C96"/>
    <w:pPr>
      <w:spacing w:after="285" w:line="240" w:lineRule="auto"/>
      <w:jc w:val="left"/>
    </w:pPr>
    <w:rPr>
      <w:rFonts w:ascii="Segoe UI" w:eastAsia="Times New Roman" w:hAnsi="Segoe UI" w:cs="Segoe UI"/>
      <w:sz w:val="20"/>
      <w:szCs w:val="20"/>
      <w:lang w:eastAsia="es-CO"/>
    </w:rPr>
  </w:style>
  <w:style w:type="paragraph" w:customStyle="1" w:styleId="cluetip-arrows1">
    <w:name w:val="cluetip-arrows1"/>
    <w:basedOn w:val="Normal"/>
    <w:rsid w:val="00CF2C96"/>
    <w:pPr>
      <w:spacing w:after="285" w:line="240" w:lineRule="auto"/>
      <w:jc w:val="left"/>
    </w:pPr>
    <w:rPr>
      <w:rFonts w:eastAsia="Times New Roman"/>
      <w:vanish/>
      <w:szCs w:val="24"/>
      <w:lang w:eastAsia="es-CO"/>
    </w:rPr>
  </w:style>
  <w:style w:type="paragraph" w:customStyle="1" w:styleId="cluetip-arrows2">
    <w:name w:val="cluetip-arrows2"/>
    <w:basedOn w:val="Normal"/>
    <w:rsid w:val="00CF2C96"/>
    <w:pPr>
      <w:spacing w:after="285" w:line="240" w:lineRule="auto"/>
      <w:ind w:right="-165"/>
      <w:jc w:val="left"/>
    </w:pPr>
    <w:rPr>
      <w:rFonts w:eastAsia="Times New Roman"/>
      <w:vanish/>
      <w:szCs w:val="24"/>
      <w:lang w:eastAsia="es-CO"/>
    </w:rPr>
  </w:style>
  <w:style w:type="paragraph" w:customStyle="1" w:styleId="cluetip-arrows3">
    <w:name w:val="cluetip-arrows3"/>
    <w:basedOn w:val="Normal"/>
    <w:rsid w:val="00CF2C96"/>
    <w:pPr>
      <w:spacing w:after="285" w:line="240" w:lineRule="auto"/>
      <w:ind w:left="-165"/>
      <w:jc w:val="left"/>
    </w:pPr>
    <w:rPr>
      <w:rFonts w:eastAsia="Times New Roman"/>
      <w:vanish/>
      <w:szCs w:val="24"/>
      <w:lang w:eastAsia="es-CO"/>
    </w:rPr>
  </w:style>
  <w:style w:type="paragraph" w:customStyle="1" w:styleId="cluetip-arrows4">
    <w:name w:val="cluetip-arrows4"/>
    <w:basedOn w:val="Normal"/>
    <w:rsid w:val="00CF2C96"/>
    <w:pPr>
      <w:spacing w:after="285" w:line="240" w:lineRule="auto"/>
      <w:ind w:left="-165"/>
      <w:jc w:val="left"/>
    </w:pPr>
    <w:rPr>
      <w:rFonts w:eastAsia="Times New Roman"/>
      <w:vanish/>
      <w:szCs w:val="24"/>
      <w:lang w:eastAsia="es-CO"/>
    </w:rPr>
  </w:style>
  <w:style w:type="paragraph" w:customStyle="1" w:styleId="cluetip-arrows5">
    <w:name w:val="cluetip-arrows5"/>
    <w:basedOn w:val="Normal"/>
    <w:rsid w:val="00CF2C96"/>
    <w:pPr>
      <w:spacing w:after="285" w:line="240" w:lineRule="auto"/>
      <w:jc w:val="left"/>
    </w:pPr>
    <w:rPr>
      <w:rFonts w:eastAsia="Times New Roman"/>
      <w:vanish/>
      <w:szCs w:val="24"/>
      <w:lang w:eastAsia="es-CO"/>
    </w:rPr>
  </w:style>
  <w:style w:type="paragraph" w:customStyle="1" w:styleId="cluetip-arrows6">
    <w:name w:val="cluetip-arrows6"/>
    <w:basedOn w:val="Normal"/>
    <w:rsid w:val="00CF2C96"/>
    <w:pPr>
      <w:spacing w:after="285" w:line="240" w:lineRule="auto"/>
      <w:ind w:right="-165"/>
      <w:jc w:val="left"/>
    </w:pPr>
    <w:rPr>
      <w:rFonts w:eastAsia="Times New Roman"/>
      <w:vanish/>
      <w:szCs w:val="24"/>
      <w:lang w:eastAsia="es-CO"/>
    </w:rPr>
  </w:style>
  <w:style w:type="paragraph" w:customStyle="1" w:styleId="cluetip-arrows7">
    <w:name w:val="cluetip-arrows7"/>
    <w:basedOn w:val="Normal"/>
    <w:rsid w:val="00CF2C96"/>
    <w:pPr>
      <w:spacing w:after="285" w:line="240" w:lineRule="auto"/>
      <w:ind w:left="-165"/>
      <w:jc w:val="left"/>
    </w:pPr>
    <w:rPr>
      <w:rFonts w:eastAsia="Times New Roman"/>
      <w:vanish/>
      <w:szCs w:val="24"/>
      <w:lang w:eastAsia="es-CO"/>
    </w:rPr>
  </w:style>
  <w:style w:type="paragraph" w:customStyle="1" w:styleId="cluetip-arrows8">
    <w:name w:val="cluetip-arrows8"/>
    <w:basedOn w:val="Normal"/>
    <w:rsid w:val="00CF2C96"/>
    <w:pPr>
      <w:spacing w:after="285" w:line="240" w:lineRule="auto"/>
      <w:ind w:left="-165"/>
      <w:jc w:val="left"/>
    </w:pPr>
    <w:rPr>
      <w:rFonts w:eastAsia="Times New Roman"/>
      <w:vanish/>
      <w:szCs w:val="24"/>
      <w:lang w:eastAsia="es-CO"/>
    </w:rPr>
  </w:style>
  <w:style w:type="paragraph" w:customStyle="1" w:styleId="cluetip-arrows9">
    <w:name w:val="cluetip-arrows9"/>
    <w:basedOn w:val="Normal"/>
    <w:rsid w:val="00CF2C96"/>
    <w:pPr>
      <w:spacing w:after="285" w:line="240" w:lineRule="auto"/>
      <w:jc w:val="left"/>
    </w:pPr>
    <w:rPr>
      <w:rFonts w:eastAsia="Times New Roman"/>
      <w:vanish/>
      <w:szCs w:val="24"/>
      <w:lang w:eastAsia="es-CO"/>
    </w:rPr>
  </w:style>
  <w:style w:type="paragraph" w:customStyle="1" w:styleId="cluetip-arrows10">
    <w:name w:val="cluetip-arrows10"/>
    <w:basedOn w:val="Normal"/>
    <w:rsid w:val="00CF2C96"/>
    <w:pPr>
      <w:spacing w:after="285" w:line="240" w:lineRule="auto"/>
      <w:ind w:left="180"/>
      <w:jc w:val="left"/>
    </w:pPr>
    <w:rPr>
      <w:rFonts w:eastAsia="Times New Roman"/>
      <w:vanish/>
      <w:szCs w:val="24"/>
      <w:lang w:eastAsia="es-CO"/>
    </w:rPr>
  </w:style>
  <w:style w:type="paragraph" w:customStyle="1" w:styleId="cluetip-arrows11">
    <w:name w:val="cluetip-arrows11"/>
    <w:basedOn w:val="Normal"/>
    <w:rsid w:val="00CF2C96"/>
    <w:pPr>
      <w:spacing w:after="285" w:line="240" w:lineRule="auto"/>
      <w:ind w:left="-165"/>
      <w:jc w:val="left"/>
    </w:pPr>
    <w:rPr>
      <w:rFonts w:eastAsia="Times New Roman"/>
      <w:vanish/>
      <w:szCs w:val="24"/>
      <w:lang w:eastAsia="es-CO"/>
    </w:rPr>
  </w:style>
  <w:style w:type="paragraph" w:customStyle="1" w:styleId="cluetip-arrows12">
    <w:name w:val="cluetip-arrows12"/>
    <w:basedOn w:val="Normal"/>
    <w:rsid w:val="00CF2C96"/>
    <w:pPr>
      <w:spacing w:after="285" w:line="240" w:lineRule="auto"/>
      <w:ind w:left="-165"/>
      <w:jc w:val="left"/>
    </w:pPr>
    <w:rPr>
      <w:rFonts w:eastAsia="Times New Roman"/>
      <w:vanish/>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F2C96"/>
    <w:pPr>
      <w:spacing w:after="285" w:line="240" w:lineRule="auto"/>
      <w:jc w:val="left"/>
      <w:outlineLvl w:val="0"/>
    </w:pPr>
    <w:rPr>
      <w:rFonts w:eastAsia="Times New Roman"/>
      <w:b/>
      <w:bCs/>
      <w:kern w:val="36"/>
      <w:sz w:val="47"/>
      <w:szCs w:val="47"/>
      <w:lang w:eastAsia="es-CO"/>
    </w:rPr>
  </w:style>
  <w:style w:type="paragraph" w:styleId="Ttulo2">
    <w:name w:val="heading 2"/>
    <w:basedOn w:val="Normal"/>
    <w:link w:val="Ttulo2Car"/>
    <w:uiPriority w:val="9"/>
    <w:qFormat/>
    <w:rsid w:val="00CF2C96"/>
    <w:pPr>
      <w:spacing w:after="285" w:line="240" w:lineRule="auto"/>
      <w:jc w:val="left"/>
      <w:outlineLvl w:val="1"/>
    </w:pPr>
    <w:rPr>
      <w:rFonts w:eastAsia="Times New Roman"/>
      <w:b/>
      <w:bCs/>
      <w:sz w:val="36"/>
      <w:szCs w:val="36"/>
      <w:lang w:eastAsia="es-CO"/>
    </w:rPr>
  </w:style>
  <w:style w:type="paragraph" w:styleId="Ttulo3">
    <w:name w:val="heading 3"/>
    <w:basedOn w:val="Normal"/>
    <w:link w:val="Ttulo3Car"/>
    <w:uiPriority w:val="9"/>
    <w:qFormat/>
    <w:rsid w:val="00CF2C96"/>
    <w:pPr>
      <w:spacing w:after="285" w:line="240" w:lineRule="auto"/>
      <w:jc w:val="left"/>
      <w:outlineLvl w:val="2"/>
    </w:pPr>
    <w:rPr>
      <w:rFonts w:eastAsia="Times New Roman"/>
      <w:b/>
      <w:bCs/>
      <w:sz w:val="27"/>
      <w:szCs w:val="27"/>
      <w:lang w:eastAsia="es-CO"/>
    </w:rPr>
  </w:style>
  <w:style w:type="paragraph" w:styleId="Ttulo4">
    <w:name w:val="heading 4"/>
    <w:basedOn w:val="Normal"/>
    <w:link w:val="Ttulo4Car"/>
    <w:uiPriority w:val="9"/>
    <w:qFormat/>
    <w:rsid w:val="00CF2C96"/>
    <w:pPr>
      <w:spacing w:after="285" w:line="240" w:lineRule="auto"/>
      <w:jc w:val="left"/>
      <w:outlineLvl w:val="3"/>
    </w:pPr>
    <w:rPr>
      <w:rFonts w:eastAsia="Times New Roman"/>
      <w:b/>
      <w:bCs/>
      <w:szCs w:val="24"/>
      <w:lang w:eastAsia="es-CO"/>
    </w:rPr>
  </w:style>
  <w:style w:type="paragraph" w:styleId="Ttulo5">
    <w:name w:val="heading 5"/>
    <w:basedOn w:val="Normal"/>
    <w:link w:val="Ttulo5Car"/>
    <w:uiPriority w:val="9"/>
    <w:qFormat/>
    <w:rsid w:val="00CF2C96"/>
    <w:pPr>
      <w:spacing w:after="285" w:line="240" w:lineRule="auto"/>
      <w:jc w:val="left"/>
      <w:outlineLvl w:val="4"/>
    </w:pPr>
    <w:rPr>
      <w:rFonts w:eastAsia="Times New Roman"/>
      <w:b/>
      <w:bCs/>
      <w:sz w:val="20"/>
      <w:szCs w:val="20"/>
      <w:lang w:eastAsia="es-CO"/>
    </w:rPr>
  </w:style>
  <w:style w:type="paragraph" w:styleId="Ttulo6">
    <w:name w:val="heading 6"/>
    <w:basedOn w:val="Normal"/>
    <w:link w:val="Ttulo6Car"/>
    <w:uiPriority w:val="9"/>
    <w:qFormat/>
    <w:rsid w:val="00CF2C96"/>
    <w:pPr>
      <w:spacing w:after="285" w:line="240" w:lineRule="auto"/>
      <w:jc w:val="left"/>
      <w:outlineLvl w:val="5"/>
    </w:pPr>
    <w:rPr>
      <w:rFonts w:eastAsia="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2C96"/>
    <w:rPr>
      <w:rFonts w:eastAsia="Times New Roman"/>
      <w:b/>
      <w:bCs/>
      <w:kern w:val="36"/>
      <w:sz w:val="47"/>
      <w:szCs w:val="47"/>
      <w:lang w:eastAsia="es-CO"/>
    </w:rPr>
  </w:style>
  <w:style w:type="character" w:customStyle="1" w:styleId="Ttulo2Car">
    <w:name w:val="Título 2 Car"/>
    <w:basedOn w:val="Fuentedeprrafopredeter"/>
    <w:link w:val="Ttulo2"/>
    <w:uiPriority w:val="9"/>
    <w:rsid w:val="00CF2C96"/>
    <w:rPr>
      <w:rFonts w:eastAsia="Times New Roman"/>
      <w:b/>
      <w:bCs/>
      <w:sz w:val="36"/>
      <w:szCs w:val="36"/>
      <w:lang w:eastAsia="es-CO"/>
    </w:rPr>
  </w:style>
  <w:style w:type="character" w:customStyle="1" w:styleId="Ttulo3Car">
    <w:name w:val="Título 3 Car"/>
    <w:basedOn w:val="Fuentedeprrafopredeter"/>
    <w:link w:val="Ttulo3"/>
    <w:uiPriority w:val="9"/>
    <w:rsid w:val="00CF2C96"/>
    <w:rPr>
      <w:rFonts w:eastAsia="Times New Roman"/>
      <w:b/>
      <w:bCs/>
      <w:sz w:val="27"/>
      <w:szCs w:val="27"/>
      <w:lang w:eastAsia="es-CO"/>
    </w:rPr>
  </w:style>
  <w:style w:type="character" w:customStyle="1" w:styleId="Ttulo4Car">
    <w:name w:val="Título 4 Car"/>
    <w:basedOn w:val="Fuentedeprrafopredeter"/>
    <w:link w:val="Ttulo4"/>
    <w:uiPriority w:val="9"/>
    <w:rsid w:val="00CF2C96"/>
    <w:rPr>
      <w:rFonts w:eastAsia="Times New Roman"/>
      <w:b/>
      <w:bCs/>
      <w:szCs w:val="24"/>
      <w:lang w:eastAsia="es-CO"/>
    </w:rPr>
  </w:style>
  <w:style w:type="character" w:customStyle="1" w:styleId="Ttulo5Car">
    <w:name w:val="Título 5 Car"/>
    <w:basedOn w:val="Fuentedeprrafopredeter"/>
    <w:link w:val="Ttulo5"/>
    <w:uiPriority w:val="9"/>
    <w:rsid w:val="00CF2C96"/>
    <w:rPr>
      <w:rFonts w:eastAsia="Times New Roman"/>
      <w:b/>
      <w:bCs/>
      <w:sz w:val="20"/>
      <w:szCs w:val="20"/>
      <w:lang w:eastAsia="es-CO"/>
    </w:rPr>
  </w:style>
  <w:style w:type="character" w:customStyle="1" w:styleId="Ttulo6Car">
    <w:name w:val="Título 6 Car"/>
    <w:basedOn w:val="Fuentedeprrafopredeter"/>
    <w:link w:val="Ttulo6"/>
    <w:uiPriority w:val="9"/>
    <w:rsid w:val="00CF2C96"/>
    <w:rPr>
      <w:rFonts w:eastAsia="Times New Roman"/>
      <w:b/>
      <w:bCs/>
      <w:sz w:val="15"/>
      <w:szCs w:val="15"/>
      <w:lang w:eastAsia="es-CO"/>
    </w:rPr>
  </w:style>
  <w:style w:type="numbering" w:customStyle="1" w:styleId="Sinlista1">
    <w:name w:val="Sin lista1"/>
    <w:next w:val="Sinlista"/>
    <w:uiPriority w:val="99"/>
    <w:semiHidden/>
    <w:unhideWhenUsed/>
    <w:rsid w:val="00CF2C96"/>
  </w:style>
  <w:style w:type="character" w:styleId="Hipervnculo">
    <w:name w:val="Hyperlink"/>
    <w:basedOn w:val="Fuentedeprrafopredeter"/>
    <w:uiPriority w:val="99"/>
    <w:semiHidden/>
    <w:unhideWhenUsed/>
    <w:rsid w:val="00CF2C96"/>
    <w:rPr>
      <w:strike w:val="0"/>
      <w:dstrike w:val="0"/>
      <w:color w:val="0089E1"/>
      <w:u w:val="none"/>
      <w:effect w:val="none"/>
    </w:rPr>
  </w:style>
  <w:style w:type="character" w:styleId="Hipervnculovisitado">
    <w:name w:val="FollowedHyperlink"/>
    <w:basedOn w:val="Fuentedeprrafopredeter"/>
    <w:uiPriority w:val="99"/>
    <w:semiHidden/>
    <w:unhideWhenUsed/>
    <w:rsid w:val="00CF2C96"/>
    <w:rPr>
      <w:strike w:val="0"/>
      <w:dstrike w:val="0"/>
      <w:color w:val="0089E1"/>
      <w:u w:val="none"/>
      <w:effect w:val="none"/>
    </w:rPr>
  </w:style>
  <w:style w:type="paragraph" w:styleId="DireccinHTML">
    <w:name w:val="HTML Address"/>
    <w:basedOn w:val="Normal"/>
    <w:link w:val="DireccinHTMLCar"/>
    <w:uiPriority w:val="99"/>
    <w:semiHidden/>
    <w:unhideWhenUsed/>
    <w:rsid w:val="00CF2C96"/>
    <w:pPr>
      <w:spacing w:line="240" w:lineRule="auto"/>
      <w:jc w:val="left"/>
    </w:pPr>
    <w:rPr>
      <w:rFonts w:eastAsia="Times New Roman"/>
      <w:i/>
      <w:iCs/>
      <w:szCs w:val="24"/>
      <w:lang w:eastAsia="es-CO"/>
    </w:rPr>
  </w:style>
  <w:style w:type="character" w:customStyle="1" w:styleId="DireccinHTMLCar">
    <w:name w:val="Dirección HTML Car"/>
    <w:basedOn w:val="Fuentedeprrafopredeter"/>
    <w:link w:val="DireccinHTML"/>
    <w:uiPriority w:val="99"/>
    <w:semiHidden/>
    <w:rsid w:val="00CF2C96"/>
    <w:rPr>
      <w:rFonts w:eastAsia="Times New Roman"/>
      <w:i/>
      <w:iCs/>
      <w:szCs w:val="24"/>
      <w:lang w:eastAsia="es-CO"/>
    </w:rPr>
  </w:style>
  <w:style w:type="paragraph" w:styleId="HTMLconformatoprevio">
    <w:name w:val="HTML Preformatted"/>
    <w:basedOn w:val="Normal"/>
    <w:link w:val="HTMLconformatoprevioCar"/>
    <w:uiPriority w:val="99"/>
    <w:semiHidden/>
    <w:unhideWhenUsed/>
    <w:rsid w:val="00CF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CF2C96"/>
    <w:rPr>
      <w:rFonts w:ascii="Courier New" w:eastAsia="Times New Roman" w:hAnsi="Courier New" w:cs="Courier New"/>
      <w:sz w:val="20"/>
      <w:szCs w:val="20"/>
      <w:lang w:eastAsia="es-CO"/>
    </w:rPr>
  </w:style>
  <w:style w:type="paragraph" w:styleId="NormalWeb">
    <w:name w:val="Normal (Web)"/>
    <w:basedOn w:val="Normal"/>
    <w:uiPriority w:val="99"/>
    <w:semiHidden/>
    <w:unhideWhenUsed/>
    <w:rsid w:val="00CF2C96"/>
    <w:pPr>
      <w:spacing w:after="285" w:line="240" w:lineRule="auto"/>
      <w:jc w:val="left"/>
    </w:pPr>
    <w:rPr>
      <w:rFonts w:eastAsia="Times New Roman"/>
      <w:szCs w:val="24"/>
      <w:lang w:eastAsia="es-CO"/>
    </w:rPr>
  </w:style>
  <w:style w:type="paragraph" w:customStyle="1" w:styleId="highlight">
    <w:name w:val="highlight"/>
    <w:basedOn w:val="Normal"/>
    <w:rsid w:val="00CF2C96"/>
    <w:pPr>
      <w:shd w:val="clear" w:color="auto" w:fill="FFFF40"/>
      <w:spacing w:after="285" w:line="240" w:lineRule="auto"/>
      <w:jc w:val="left"/>
    </w:pPr>
    <w:rPr>
      <w:rFonts w:eastAsia="Times New Roman"/>
      <w:szCs w:val="24"/>
      <w:lang w:eastAsia="es-CO"/>
    </w:rPr>
  </w:style>
  <w:style w:type="paragraph" w:customStyle="1" w:styleId="cluetip-arrows">
    <w:name w:val="cluetip-arrows"/>
    <w:basedOn w:val="Normal"/>
    <w:rsid w:val="00CF2C96"/>
    <w:pPr>
      <w:spacing w:after="285" w:line="240" w:lineRule="auto"/>
      <w:jc w:val="left"/>
    </w:pPr>
    <w:rPr>
      <w:rFonts w:eastAsia="Times New Roman"/>
      <w:vanish/>
      <w:szCs w:val="24"/>
      <w:lang w:eastAsia="es-CO"/>
    </w:rPr>
  </w:style>
  <w:style w:type="paragraph" w:customStyle="1" w:styleId="cluetip-default">
    <w:name w:val="cluetip-default"/>
    <w:basedOn w:val="Normal"/>
    <w:rsid w:val="00CF2C96"/>
    <w:pPr>
      <w:pBdr>
        <w:top w:val="single" w:sz="6" w:space="0" w:color="808080"/>
        <w:left w:val="single" w:sz="6" w:space="0" w:color="808080"/>
        <w:bottom w:val="single" w:sz="6" w:space="0" w:color="808080"/>
        <w:right w:val="single" w:sz="6" w:space="0" w:color="808080"/>
      </w:pBdr>
      <w:shd w:val="clear" w:color="auto" w:fill="EBEBEB"/>
      <w:spacing w:after="285" w:line="240" w:lineRule="auto"/>
      <w:jc w:val="left"/>
    </w:pPr>
    <w:rPr>
      <w:rFonts w:ascii="Segoe UI" w:eastAsia="Times New Roman" w:hAnsi="Segoe UI" w:cs="Segoe UI"/>
      <w:szCs w:val="24"/>
      <w:lang w:eastAsia="es-CO"/>
    </w:rPr>
  </w:style>
  <w:style w:type="paragraph" w:customStyle="1" w:styleId="cluetip-jtip">
    <w:name w:val="cluetip-jtip"/>
    <w:basedOn w:val="Normal"/>
    <w:rsid w:val="00CF2C96"/>
    <w:pPr>
      <w:spacing w:after="285" w:line="240" w:lineRule="auto"/>
      <w:jc w:val="left"/>
    </w:pPr>
    <w:rPr>
      <w:rFonts w:eastAsia="Times New Roman"/>
      <w:szCs w:val="24"/>
      <w:lang w:eastAsia="es-CO"/>
    </w:rPr>
  </w:style>
  <w:style w:type="paragraph" w:customStyle="1" w:styleId="cluetip-rounded">
    <w:name w:val="cluetip-rounded"/>
    <w:basedOn w:val="Normal"/>
    <w:rsid w:val="00CF2C96"/>
    <w:pPr>
      <w:spacing w:before="150" w:after="285" w:line="240" w:lineRule="auto"/>
      <w:ind w:left="180"/>
      <w:jc w:val="left"/>
    </w:pPr>
    <w:rPr>
      <w:rFonts w:eastAsia="Times New Roman"/>
      <w:szCs w:val="24"/>
      <w:lang w:eastAsia="es-CO"/>
    </w:rPr>
  </w:style>
  <w:style w:type="paragraph" w:customStyle="1" w:styleId="navbarul">
    <w:name w:val="navbar_ul"/>
    <w:basedOn w:val="Normal"/>
    <w:rsid w:val="00CF2C96"/>
    <w:pPr>
      <w:spacing w:line="240" w:lineRule="auto"/>
      <w:jc w:val="left"/>
    </w:pPr>
    <w:rPr>
      <w:rFonts w:eastAsia="Times New Roman"/>
      <w:szCs w:val="24"/>
      <w:lang w:eastAsia="es-CO"/>
    </w:rPr>
  </w:style>
  <w:style w:type="paragraph" w:customStyle="1" w:styleId="navbarli">
    <w:name w:val="navbar_li"/>
    <w:basedOn w:val="Normal"/>
    <w:rsid w:val="00CF2C96"/>
    <w:pPr>
      <w:spacing w:line="240" w:lineRule="auto"/>
      <w:jc w:val="left"/>
    </w:pPr>
    <w:rPr>
      <w:rFonts w:eastAsia="Times New Roman"/>
      <w:szCs w:val="24"/>
      <w:lang w:eastAsia="es-CO"/>
    </w:rPr>
  </w:style>
  <w:style w:type="paragraph" w:customStyle="1" w:styleId="navbara">
    <w:name w:val="navbar_a"/>
    <w:basedOn w:val="Normal"/>
    <w:rsid w:val="00CF2C96"/>
    <w:pPr>
      <w:spacing w:line="240" w:lineRule="auto"/>
      <w:jc w:val="left"/>
    </w:pPr>
    <w:rPr>
      <w:rFonts w:eastAsia="Times New Roman"/>
      <w:szCs w:val="24"/>
      <w:lang w:eastAsia="es-CO"/>
    </w:rPr>
  </w:style>
  <w:style w:type="paragraph" w:customStyle="1" w:styleId="nof-positioning">
    <w:name w:val="nof-positioning"/>
    <w:basedOn w:val="Normal"/>
    <w:rsid w:val="00CF2C96"/>
    <w:pPr>
      <w:spacing w:line="240" w:lineRule="auto"/>
      <w:jc w:val="left"/>
    </w:pPr>
    <w:rPr>
      <w:rFonts w:ascii="inherit" w:eastAsia="Times New Roman" w:hAnsi="inherit"/>
      <w:szCs w:val="24"/>
      <w:lang w:eastAsia="es-CO"/>
    </w:rPr>
  </w:style>
  <w:style w:type="paragraph" w:customStyle="1" w:styleId="nof-navpositioning">
    <w:name w:val="nof-navpositioning"/>
    <w:basedOn w:val="Normal"/>
    <w:rsid w:val="00CF2C96"/>
    <w:pPr>
      <w:spacing w:line="240" w:lineRule="auto"/>
      <w:jc w:val="left"/>
    </w:pPr>
    <w:rPr>
      <w:rFonts w:eastAsia="Times New Roman"/>
      <w:szCs w:val="24"/>
      <w:lang w:eastAsia="es-CO"/>
    </w:rPr>
  </w:style>
  <w:style w:type="paragraph" w:customStyle="1" w:styleId="nof-navbuttonanchor">
    <w:name w:val="nof-navbuttonanchor"/>
    <w:basedOn w:val="Normal"/>
    <w:rsid w:val="00CF2C96"/>
    <w:pPr>
      <w:spacing w:line="240" w:lineRule="auto"/>
      <w:jc w:val="left"/>
    </w:pPr>
    <w:rPr>
      <w:rFonts w:eastAsia="Times New Roman"/>
      <w:szCs w:val="24"/>
      <w:lang w:eastAsia="es-CO"/>
    </w:rPr>
  </w:style>
  <w:style w:type="paragraph" w:customStyle="1" w:styleId="nof-ajaxtemplatehide">
    <w:name w:val="nof-ajaxtemplatehide"/>
    <w:basedOn w:val="Normal"/>
    <w:rsid w:val="00CF2C96"/>
    <w:pPr>
      <w:shd w:val="clear" w:color="auto" w:fill="FFFFFF"/>
      <w:spacing w:after="285" w:line="240" w:lineRule="auto"/>
      <w:jc w:val="left"/>
    </w:pPr>
    <w:rPr>
      <w:rFonts w:eastAsia="Times New Roman"/>
      <w:color w:val="FFFFFF"/>
      <w:szCs w:val="24"/>
      <w:lang w:eastAsia="es-CO"/>
    </w:rPr>
  </w:style>
  <w:style w:type="paragraph" w:customStyle="1" w:styleId="entidadess">
    <w:name w:val="entidadess"/>
    <w:basedOn w:val="Normal"/>
    <w:rsid w:val="00CF2C96"/>
    <w:pPr>
      <w:spacing w:after="285" w:line="240" w:lineRule="auto"/>
      <w:jc w:val="left"/>
    </w:pPr>
    <w:rPr>
      <w:rFonts w:eastAsia="Times New Roman"/>
      <w:b/>
      <w:bCs/>
      <w:color w:val="00BF00"/>
      <w:szCs w:val="24"/>
      <w:lang w:eastAsia="es-CO"/>
    </w:rPr>
  </w:style>
  <w:style w:type="paragraph" w:customStyle="1" w:styleId="t21">
    <w:name w:val="t21"/>
    <w:basedOn w:val="Normal"/>
    <w:rsid w:val="00CF2C96"/>
    <w:pPr>
      <w:spacing w:after="285" w:line="240" w:lineRule="auto"/>
      <w:jc w:val="left"/>
    </w:pPr>
    <w:rPr>
      <w:rFonts w:ascii="Segoe UI" w:eastAsia="Times New Roman" w:hAnsi="Segoe UI" w:cs="Segoe UI"/>
      <w:sz w:val="32"/>
      <w:szCs w:val="32"/>
      <w:lang w:eastAsia="es-CO"/>
    </w:rPr>
  </w:style>
  <w:style w:type="paragraph" w:customStyle="1" w:styleId="menuopcion">
    <w:name w:val="menuopcion"/>
    <w:basedOn w:val="Normal"/>
    <w:rsid w:val="00CF2C96"/>
    <w:pPr>
      <w:spacing w:after="285" w:line="240" w:lineRule="auto"/>
      <w:jc w:val="left"/>
    </w:pPr>
    <w:rPr>
      <w:rFonts w:ascii="Segoe UI" w:eastAsia="Times New Roman" w:hAnsi="Segoe UI" w:cs="Segoe UI"/>
      <w:color w:val="000000"/>
      <w:sz w:val="18"/>
      <w:szCs w:val="18"/>
      <w:lang w:eastAsia="es-CO"/>
    </w:rPr>
  </w:style>
  <w:style w:type="paragraph" w:customStyle="1" w:styleId="textomenu">
    <w:name w:val="textomenu"/>
    <w:basedOn w:val="Normal"/>
    <w:rsid w:val="00CF2C96"/>
    <w:pPr>
      <w:spacing w:after="285" w:line="240" w:lineRule="auto"/>
      <w:jc w:val="left"/>
    </w:pPr>
    <w:rPr>
      <w:rFonts w:ascii="Segoe UI" w:eastAsia="Times New Roman" w:hAnsi="Segoe UI" w:cs="Segoe UI"/>
      <w:color w:val="000000"/>
      <w:sz w:val="17"/>
      <w:szCs w:val="17"/>
      <w:lang w:eastAsia="es-CO"/>
    </w:rPr>
  </w:style>
  <w:style w:type="paragraph" w:customStyle="1" w:styleId="t32">
    <w:name w:val="t32"/>
    <w:basedOn w:val="Normal"/>
    <w:rsid w:val="00CF2C96"/>
    <w:pPr>
      <w:spacing w:after="285" w:line="240" w:lineRule="auto"/>
      <w:jc w:val="left"/>
    </w:pPr>
    <w:rPr>
      <w:rFonts w:ascii="Segoe UI" w:eastAsia="Times New Roman" w:hAnsi="Segoe UI" w:cs="Segoe UI"/>
      <w:sz w:val="48"/>
      <w:szCs w:val="48"/>
      <w:lang w:eastAsia="es-CO"/>
    </w:rPr>
  </w:style>
  <w:style w:type="paragraph" w:customStyle="1" w:styleId="textocetadia">
    <w:name w:val="textocetadia"/>
    <w:basedOn w:val="Normal"/>
    <w:rsid w:val="00CF2C96"/>
    <w:pPr>
      <w:spacing w:after="285" w:line="240" w:lineRule="auto"/>
      <w:jc w:val="left"/>
    </w:pPr>
    <w:rPr>
      <w:rFonts w:ascii="Segoe UI" w:eastAsia="Times New Roman" w:hAnsi="Segoe UI" w:cs="Segoe UI"/>
      <w:color w:val="4D4D4D"/>
      <w:sz w:val="21"/>
      <w:szCs w:val="21"/>
      <w:lang w:eastAsia="es-CO"/>
    </w:rPr>
  </w:style>
  <w:style w:type="paragraph" w:customStyle="1" w:styleId="enlacesinazulsub">
    <w:name w:val="enlacesinazulsub"/>
    <w:basedOn w:val="Normal"/>
    <w:rsid w:val="00CF2C96"/>
    <w:pPr>
      <w:spacing w:after="285" w:line="240" w:lineRule="auto"/>
      <w:jc w:val="left"/>
    </w:pPr>
    <w:rPr>
      <w:rFonts w:eastAsia="Times New Roman"/>
      <w:color w:val="000000"/>
      <w:szCs w:val="24"/>
      <w:lang w:eastAsia="es-CO"/>
    </w:rPr>
  </w:style>
  <w:style w:type="paragraph" w:customStyle="1" w:styleId="linksimple">
    <w:name w:val="linksimple"/>
    <w:basedOn w:val="Normal"/>
    <w:rsid w:val="00CF2C96"/>
    <w:pPr>
      <w:spacing w:after="285" w:line="240" w:lineRule="auto"/>
      <w:jc w:val="left"/>
    </w:pPr>
    <w:rPr>
      <w:rFonts w:eastAsia="Times New Roman"/>
      <w:szCs w:val="24"/>
      <w:lang w:eastAsia="es-CO"/>
    </w:rPr>
  </w:style>
  <w:style w:type="paragraph" w:customStyle="1" w:styleId="mfr">
    <w:name w:val="mfr"/>
    <w:basedOn w:val="Normal"/>
    <w:rsid w:val="00CF2C96"/>
    <w:pPr>
      <w:spacing w:after="285" w:line="240" w:lineRule="auto"/>
      <w:jc w:val="left"/>
    </w:pPr>
    <w:rPr>
      <w:rFonts w:ascii="Segoe UI" w:eastAsia="Times New Roman" w:hAnsi="Segoe UI" w:cs="Segoe UI"/>
      <w:sz w:val="17"/>
      <w:szCs w:val="17"/>
      <w:lang w:eastAsia="es-CO"/>
    </w:rPr>
  </w:style>
  <w:style w:type="paragraph" w:customStyle="1" w:styleId="textocetaarial">
    <w:name w:val="textocetaarial"/>
    <w:basedOn w:val="Normal"/>
    <w:rsid w:val="00CF2C96"/>
    <w:pPr>
      <w:spacing w:after="285" w:line="240" w:lineRule="auto"/>
      <w:jc w:val="left"/>
    </w:pPr>
    <w:rPr>
      <w:rFonts w:ascii="Arial" w:eastAsia="Times New Roman" w:hAnsi="Arial" w:cs="Arial"/>
      <w:sz w:val="18"/>
      <w:szCs w:val="18"/>
      <w:lang w:eastAsia="es-CO"/>
    </w:rPr>
  </w:style>
  <w:style w:type="paragraph" w:customStyle="1" w:styleId="t22">
    <w:name w:val="t22"/>
    <w:basedOn w:val="Normal"/>
    <w:rsid w:val="00CF2C96"/>
    <w:pPr>
      <w:spacing w:after="285" w:line="240" w:lineRule="auto"/>
      <w:jc w:val="left"/>
    </w:pPr>
    <w:rPr>
      <w:rFonts w:ascii="Segoe UI" w:eastAsia="Times New Roman" w:hAnsi="Segoe UI" w:cs="Segoe UI"/>
      <w:sz w:val="33"/>
      <w:szCs w:val="33"/>
      <w:lang w:eastAsia="es-CO"/>
    </w:rPr>
  </w:style>
  <w:style w:type="paragraph" w:customStyle="1" w:styleId="titulocetagrande">
    <w:name w:val="titulocetagrande"/>
    <w:basedOn w:val="Normal"/>
    <w:rsid w:val="00CF2C96"/>
    <w:pPr>
      <w:spacing w:after="285" w:line="240" w:lineRule="auto"/>
      <w:jc w:val="left"/>
    </w:pPr>
    <w:rPr>
      <w:rFonts w:ascii="Segoe UI" w:eastAsia="Times New Roman" w:hAnsi="Segoe UI" w:cs="Segoe UI"/>
      <w:b/>
      <w:bCs/>
      <w:sz w:val="27"/>
      <w:szCs w:val="27"/>
      <w:lang w:eastAsia="es-CO"/>
    </w:rPr>
  </w:style>
  <w:style w:type="paragraph" w:customStyle="1" w:styleId="tabb">
    <w:name w:val="tabb"/>
    <w:basedOn w:val="Normal"/>
    <w:rsid w:val="00CF2C96"/>
    <w:pPr>
      <w:spacing w:after="285" w:line="240" w:lineRule="auto"/>
      <w:jc w:val="center"/>
    </w:pPr>
    <w:rPr>
      <w:rFonts w:ascii="Segoe UI" w:eastAsia="Times New Roman" w:hAnsi="Segoe UI" w:cs="Segoe UI"/>
      <w:b/>
      <w:bCs/>
      <w:color w:val="ECEDEE"/>
      <w:sz w:val="21"/>
      <w:szCs w:val="21"/>
      <w:lang w:eastAsia="es-CO"/>
    </w:rPr>
  </w:style>
  <w:style w:type="paragraph" w:customStyle="1" w:styleId="introlema">
    <w:name w:val="introlema"/>
    <w:basedOn w:val="Normal"/>
    <w:rsid w:val="00CF2C96"/>
    <w:pPr>
      <w:spacing w:after="285" w:line="240" w:lineRule="auto"/>
      <w:jc w:val="left"/>
    </w:pPr>
    <w:rPr>
      <w:rFonts w:ascii="Segoe UI" w:eastAsia="Times New Roman" w:hAnsi="Segoe UI" w:cs="Segoe UI"/>
      <w:sz w:val="17"/>
      <w:szCs w:val="17"/>
      <w:lang w:eastAsia="es-CO"/>
    </w:rPr>
  </w:style>
  <w:style w:type="paragraph" w:customStyle="1" w:styleId="subtabb">
    <w:name w:val="subtabb"/>
    <w:basedOn w:val="Normal"/>
    <w:rsid w:val="00CF2C96"/>
    <w:pPr>
      <w:spacing w:after="285" w:line="240" w:lineRule="auto"/>
      <w:jc w:val="center"/>
    </w:pPr>
    <w:rPr>
      <w:rFonts w:ascii="Segoe UI" w:eastAsia="Times New Roman" w:hAnsi="Segoe UI" w:cs="Segoe UI"/>
      <w:color w:val="99CCFF"/>
      <w:sz w:val="23"/>
      <w:szCs w:val="23"/>
      <w:lang w:eastAsia="es-CO"/>
    </w:rPr>
  </w:style>
  <w:style w:type="paragraph" w:customStyle="1" w:styleId="t18">
    <w:name w:val="t18"/>
    <w:basedOn w:val="Normal"/>
    <w:rsid w:val="00CF2C96"/>
    <w:pPr>
      <w:spacing w:after="285" w:line="240" w:lineRule="auto"/>
      <w:jc w:val="left"/>
    </w:pPr>
    <w:rPr>
      <w:rFonts w:ascii="Segoe UI" w:eastAsia="Times New Roman" w:hAnsi="Segoe UI" w:cs="Segoe UI"/>
      <w:sz w:val="27"/>
      <w:szCs w:val="27"/>
      <w:lang w:eastAsia="es-CO"/>
    </w:rPr>
  </w:style>
  <w:style w:type="paragraph" w:customStyle="1" w:styleId="fondoazul">
    <w:name w:val="fondoazul"/>
    <w:basedOn w:val="Normal"/>
    <w:rsid w:val="00CF2C96"/>
    <w:pPr>
      <w:shd w:val="clear" w:color="auto" w:fill="3366CC"/>
      <w:spacing w:after="285" w:line="240" w:lineRule="auto"/>
      <w:jc w:val="left"/>
    </w:pPr>
    <w:rPr>
      <w:rFonts w:eastAsia="Times New Roman"/>
      <w:b/>
      <w:bCs/>
      <w:color w:val="FFFFFF"/>
      <w:szCs w:val="24"/>
      <w:lang w:eastAsia="es-CO"/>
    </w:rPr>
  </w:style>
  <w:style w:type="paragraph" w:customStyle="1" w:styleId="txtcetatah">
    <w:name w:val="txtcetatah"/>
    <w:basedOn w:val="Normal"/>
    <w:rsid w:val="00CF2C96"/>
    <w:pPr>
      <w:spacing w:after="285" w:line="240" w:lineRule="auto"/>
      <w:jc w:val="left"/>
    </w:pPr>
    <w:rPr>
      <w:rFonts w:ascii="Segoe UI" w:eastAsia="Times New Roman" w:hAnsi="Segoe UI" w:cs="Segoe UI"/>
      <w:sz w:val="17"/>
      <w:szCs w:val="17"/>
      <w:lang w:eastAsia="es-CO"/>
    </w:rPr>
  </w:style>
  <w:style w:type="paragraph" w:customStyle="1" w:styleId="textomenu2">
    <w:name w:val="textomenu2"/>
    <w:basedOn w:val="Normal"/>
    <w:rsid w:val="00CF2C96"/>
    <w:pPr>
      <w:pBdr>
        <w:top w:val="single" w:sz="8" w:space="0" w:color="E6E6E6"/>
        <w:left w:val="single" w:sz="8" w:space="0" w:color="E6E6E6"/>
        <w:bottom w:val="single" w:sz="8" w:space="0" w:color="E6E6E6"/>
        <w:right w:val="single" w:sz="8" w:space="0" w:color="E6E6E6"/>
      </w:pBdr>
      <w:spacing w:after="285" w:line="240" w:lineRule="auto"/>
      <w:jc w:val="left"/>
    </w:pPr>
    <w:rPr>
      <w:rFonts w:eastAsia="Times New Roman"/>
      <w:szCs w:val="24"/>
      <w:lang w:eastAsia="es-CO"/>
    </w:rPr>
  </w:style>
  <w:style w:type="paragraph" w:customStyle="1" w:styleId="tab2">
    <w:name w:val="tab2"/>
    <w:basedOn w:val="Normal"/>
    <w:rsid w:val="00CF2C96"/>
    <w:pPr>
      <w:spacing w:after="285" w:line="240" w:lineRule="auto"/>
      <w:jc w:val="center"/>
    </w:pPr>
    <w:rPr>
      <w:rFonts w:ascii="Segoe UI" w:eastAsia="Times New Roman" w:hAnsi="Segoe UI" w:cs="Segoe UI"/>
      <w:b/>
      <w:bCs/>
      <w:color w:val="ECEDEE"/>
      <w:sz w:val="21"/>
      <w:szCs w:val="21"/>
      <w:lang w:eastAsia="es-CO"/>
    </w:rPr>
  </w:style>
  <w:style w:type="paragraph" w:customStyle="1" w:styleId="enlacesmainh">
    <w:name w:val="enlacesmainh"/>
    <w:basedOn w:val="Normal"/>
    <w:rsid w:val="00CF2C96"/>
    <w:pPr>
      <w:shd w:val="clear" w:color="auto" w:fill="6CBD47"/>
      <w:spacing w:after="285" w:line="240" w:lineRule="auto"/>
      <w:jc w:val="left"/>
    </w:pPr>
    <w:rPr>
      <w:rFonts w:eastAsia="Times New Roman"/>
      <w:szCs w:val="24"/>
      <w:lang w:eastAsia="es-CO"/>
    </w:rPr>
  </w:style>
  <w:style w:type="paragraph" w:customStyle="1" w:styleId="busquedarapida">
    <w:name w:val="busquedarapida"/>
    <w:basedOn w:val="Normal"/>
    <w:rsid w:val="00CF2C96"/>
    <w:pPr>
      <w:spacing w:after="285" w:line="240" w:lineRule="auto"/>
      <w:jc w:val="left"/>
    </w:pPr>
    <w:rPr>
      <w:rFonts w:ascii="Segoe UI" w:eastAsia="Times New Roman" w:hAnsi="Segoe UI" w:cs="Segoe UI"/>
      <w:sz w:val="20"/>
      <w:szCs w:val="20"/>
      <w:lang w:eastAsia="es-CO"/>
    </w:rPr>
  </w:style>
  <w:style w:type="paragraph" w:customStyle="1" w:styleId="taba">
    <w:name w:val="taba"/>
    <w:basedOn w:val="Normal"/>
    <w:rsid w:val="00CF2C96"/>
    <w:pPr>
      <w:spacing w:after="285" w:line="240" w:lineRule="auto"/>
      <w:jc w:val="center"/>
    </w:pPr>
    <w:rPr>
      <w:rFonts w:ascii="Segoe UI" w:eastAsia="Times New Roman" w:hAnsi="Segoe UI" w:cs="Segoe UI"/>
      <w:b/>
      <w:bCs/>
      <w:color w:val="FFFFFF"/>
      <w:sz w:val="21"/>
      <w:szCs w:val="21"/>
      <w:lang w:eastAsia="es-CO"/>
    </w:rPr>
  </w:style>
  <w:style w:type="paragraph" w:customStyle="1" w:styleId="enlaceframe">
    <w:name w:val="enlaceframe"/>
    <w:basedOn w:val="Normal"/>
    <w:rsid w:val="00CF2C96"/>
    <w:pPr>
      <w:spacing w:before="45" w:after="45" w:line="240" w:lineRule="auto"/>
      <w:ind w:left="45" w:right="45"/>
      <w:jc w:val="left"/>
    </w:pPr>
    <w:rPr>
      <w:rFonts w:eastAsia="Times New Roman"/>
      <w:szCs w:val="24"/>
      <w:lang w:eastAsia="es-CO"/>
    </w:rPr>
  </w:style>
  <w:style w:type="paragraph" w:customStyle="1" w:styleId="titulosceta">
    <w:name w:val="titulosceta"/>
    <w:basedOn w:val="Normal"/>
    <w:rsid w:val="00CF2C96"/>
    <w:pPr>
      <w:spacing w:after="285" w:line="240" w:lineRule="auto"/>
      <w:jc w:val="left"/>
    </w:pPr>
    <w:rPr>
      <w:rFonts w:ascii="Segoe UI" w:eastAsia="Times New Roman" w:hAnsi="Segoe UI" w:cs="Segoe UI"/>
      <w:b/>
      <w:bCs/>
      <w:sz w:val="21"/>
      <w:szCs w:val="21"/>
      <w:lang w:eastAsia="es-CO"/>
    </w:rPr>
  </w:style>
  <w:style w:type="paragraph" w:customStyle="1" w:styleId="subtaba">
    <w:name w:val="subtaba"/>
    <w:basedOn w:val="Normal"/>
    <w:rsid w:val="00CF2C96"/>
    <w:pPr>
      <w:spacing w:after="285" w:line="240" w:lineRule="auto"/>
      <w:jc w:val="center"/>
    </w:pPr>
    <w:rPr>
      <w:rFonts w:ascii="Segoe UI" w:eastAsia="Times New Roman" w:hAnsi="Segoe UI" w:cs="Segoe UI"/>
      <w:b/>
      <w:bCs/>
      <w:color w:val="C8C8C8"/>
      <w:sz w:val="20"/>
      <w:szCs w:val="20"/>
      <w:lang w:eastAsia="es-CO"/>
    </w:rPr>
  </w:style>
  <w:style w:type="paragraph" w:customStyle="1" w:styleId="campoformulario">
    <w:name w:val="campoformulario"/>
    <w:basedOn w:val="Normal"/>
    <w:rsid w:val="00CF2C96"/>
    <w:pPr>
      <w:shd w:val="clear" w:color="auto" w:fill="EBEBEB"/>
      <w:spacing w:after="285" w:line="240" w:lineRule="auto"/>
      <w:jc w:val="left"/>
    </w:pPr>
    <w:rPr>
      <w:rFonts w:eastAsia="Times New Roman"/>
      <w:b/>
      <w:bCs/>
      <w:caps/>
      <w:sz w:val="17"/>
      <w:szCs w:val="17"/>
      <w:lang w:eastAsia="es-CO"/>
    </w:rPr>
  </w:style>
  <w:style w:type="paragraph" w:customStyle="1" w:styleId="etmuns">
    <w:name w:val="etmuns"/>
    <w:basedOn w:val="Normal"/>
    <w:rsid w:val="00CF2C96"/>
    <w:pPr>
      <w:spacing w:after="285" w:line="240" w:lineRule="auto"/>
      <w:jc w:val="left"/>
    </w:pPr>
    <w:rPr>
      <w:rFonts w:eastAsia="Times New Roman"/>
      <w:b/>
      <w:bCs/>
      <w:color w:val="00BF00"/>
      <w:szCs w:val="24"/>
      <w:lang w:eastAsia="es-CO"/>
    </w:rPr>
  </w:style>
  <w:style w:type="paragraph" w:customStyle="1" w:styleId="t42">
    <w:name w:val="t42"/>
    <w:basedOn w:val="Normal"/>
    <w:rsid w:val="00CF2C96"/>
    <w:pPr>
      <w:spacing w:after="285" w:line="240" w:lineRule="auto"/>
      <w:jc w:val="left"/>
    </w:pPr>
    <w:rPr>
      <w:rFonts w:ascii="Segoe UI" w:eastAsia="Times New Roman" w:hAnsi="Segoe UI" w:cs="Segoe UI"/>
      <w:sz w:val="48"/>
      <w:szCs w:val="48"/>
      <w:lang w:eastAsia="es-CO"/>
    </w:rPr>
  </w:style>
  <w:style w:type="paragraph" w:customStyle="1" w:styleId="mop">
    <w:name w:val="mop"/>
    <w:basedOn w:val="Normal"/>
    <w:rsid w:val="00CF2C96"/>
    <w:pPr>
      <w:spacing w:after="285" w:line="240" w:lineRule="auto"/>
      <w:jc w:val="left"/>
    </w:pPr>
    <w:rPr>
      <w:rFonts w:eastAsia="Times New Roman"/>
      <w:color w:val="EEEEEE"/>
      <w:szCs w:val="24"/>
      <w:lang w:eastAsia="es-CO"/>
    </w:rPr>
  </w:style>
  <w:style w:type="paragraph" w:customStyle="1" w:styleId="t14">
    <w:name w:val="t14"/>
    <w:basedOn w:val="Normal"/>
    <w:rsid w:val="00CF2C96"/>
    <w:pPr>
      <w:spacing w:after="285" w:line="240" w:lineRule="auto"/>
      <w:jc w:val="left"/>
    </w:pPr>
    <w:rPr>
      <w:rFonts w:ascii="Segoe UI" w:eastAsia="Times New Roman" w:hAnsi="Segoe UI" w:cs="Segoe UI"/>
      <w:sz w:val="21"/>
      <w:szCs w:val="21"/>
      <w:lang w:eastAsia="es-CO"/>
    </w:rPr>
  </w:style>
  <w:style w:type="paragraph" w:customStyle="1" w:styleId="tab1">
    <w:name w:val="tab1"/>
    <w:basedOn w:val="Normal"/>
    <w:rsid w:val="00CF2C96"/>
    <w:pPr>
      <w:spacing w:after="285" w:line="240" w:lineRule="auto"/>
      <w:jc w:val="center"/>
    </w:pPr>
    <w:rPr>
      <w:rFonts w:ascii="Segoe UI" w:eastAsia="Times New Roman" w:hAnsi="Segoe UI" w:cs="Segoe UI"/>
      <w:b/>
      <w:bCs/>
      <w:color w:val="FFFFFF"/>
      <w:sz w:val="21"/>
      <w:szCs w:val="21"/>
      <w:lang w:eastAsia="es-CO"/>
    </w:rPr>
  </w:style>
  <w:style w:type="paragraph" w:customStyle="1" w:styleId="enlacenew">
    <w:name w:val="enlacenew"/>
    <w:basedOn w:val="Normal"/>
    <w:rsid w:val="00CF2C96"/>
    <w:pPr>
      <w:spacing w:after="285" w:line="240" w:lineRule="auto"/>
      <w:jc w:val="left"/>
    </w:pPr>
    <w:rPr>
      <w:rFonts w:ascii="Arial" w:eastAsia="Times New Roman" w:hAnsi="Arial" w:cs="Arial"/>
      <w:color w:val="000000"/>
      <w:sz w:val="21"/>
      <w:szCs w:val="21"/>
      <w:lang w:eastAsia="es-CO"/>
    </w:rPr>
  </w:style>
  <w:style w:type="paragraph" w:customStyle="1" w:styleId="menuceta">
    <w:name w:val="menuceta"/>
    <w:basedOn w:val="Normal"/>
    <w:rsid w:val="00CF2C96"/>
    <w:pPr>
      <w:pBdr>
        <w:top w:val="single" w:sz="8" w:space="0" w:color="000000"/>
        <w:left w:val="single" w:sz="8" w:space="0" w:color="000000"/>
        <w:bottom w:val="single" w:sz="8" w:space="0" w:color="000000"/>
        <w:right w:val="single" w:sz="8" w:space="0" w:color="000000"/>
      </w:pBdr>
      <w:shd w:val="clear" w:color="auto" w:fill="CCCCCC"/>
      <w:spacing w:after="285" w:line="240" w:lineRule="auto"/>
      <w:jc w:val="left"/>
    </w:pPr>
    <w:rPr>
      <w:rFonts w:ascii="Segoe UI" w:eastAsia="Times New Roman" w:hAnsi="Segoe UI" w:cs="Segoe UI"/>
      <w:sz w:val="17"/>
      <w:szCs w:val="17"/>
      <w:lang w:eastAsia="es-CO"/>
    </w:rPr>
  </w:style>
  <w:style w:type="paragraph" w:customStyle="1" w:styleId="chiquitaceta">
    <w:name w:val="chiquitaceta"/>
    <w:basedOn w:val="Normal"/>
    <w:rsid w:val="00CF2C96"/>
    <w:pPr>
      <w:spacing w:after="285" w:line="240" w:lineRule="auto"/>
      <w:jc w:val="left"/>
    </w:pPr>
    <w:rPr>
      <w:rFonts w:ascii="Segoe UI" w:eastAsia="Times New Roman" w:hAnsi="Segoe UI" w:cs="Segoe UI"/>
      <w:sz w:val="15"/>
      <w:szCs w:val="15"/>
      <w:lang w:eastAsia="es-CO"/>
    </w:rPr>
  </w:style>
  <w:style w:type="paragraph" w:customStyle="1" w:styleId="t15">
    <w:name w:val="t15"/>
    <w:basedOn w:val="Normal"/>
    <w:rsid w:val="00CF2C96"/>
    <w:pPr>
      <w:spacing w:after="285" w:line="240" w:lineRule="auto"/>
      <w:jc w:val="left"/>
    </w:pPr>
    <w:rPr>
      <w:rFonts w:ascii="Segoe UI" w:eastAsia="Times New Roman" w:hAnsi="Segoe UI" w:cs="Segoe UI"/>
      <w:sz w:val="23"/>
      <w:szCs w:val="23"/>
      <w:lang w:eastAsia="es-CO"/>
    </w:rPr>
  </w:style>
  <w:style w:type="paragraph" w:customStyle="1" w:styleId="introtit">
    <w:name w:val="introtit"/>
    <w:basedOn w:val="Normal"/>
    <w:rsid w:val="00CF2C96"/>
    <w:pPr>
      <w:spacing w:after="285" w:line="240" w:lineRule="auto"/>
      <w:jc w:val="left"/>
    </w:pPr>
    <w:rPr>
      <w:rFonts w:ascii="Segoe UI" w:eastAsia="Times New Roman" w:hAnsi="Segoe UI" w:cs="Segoe UI"/>
      <w:b/>
      <w:bCs/>
      <w:sz w:val="36"/>
      <w:szCs w:val="36"/>
      <w:lang w:eastAsia="es-CO"/>
    </w:rPr>
  </w:style>
  <w:style w:type="paragraph" w:customStyle="1" w:styleId="otrotitulo2">
    <w:name w:val="otrotitulo2"/>
    <w:basedOn w:val="Normal"/>
    <w:rsid w:val="00CF2C96"/>
    <w:pPr>
      <w:spacing w:after="285" w:line="240" w:lineRule="auto"/>
      <w:jc w:val="left"/>
    </w:pPr>
    <w:rPr>
      <w:rFonts w:ascii="Segoe UI" w:eastAsia="Times New Roman" w:hAnsi="Segoe UI" w:cs="Segoe UI"/>
      <w:sz w:val="27"/>
      <w:szCs w:val="27"/>
      <w:lang w:eastAsia="es-CO"/>
    </w:rPr>
  </w:style>
  <w:style w:type="paragraph" w:customStyle="1" w:styleId="mtt">
    <w:name w:val="mtt"/>
    <w:basedOn w:val="Normal"/>
    <w:rsid w:val="00CF2C96"/>
    <w:pPr>
      <w:shd w:val="clear" w:color="auto" w:fill="ECE6D3"/>
      <w:spacing w:after="285" w:line="240" w:lineRule="auto"/>
      <w:jc w:val="left"/>
    </w:pPr>
    <w:rPr>
      <w:rFonts w:ascii="Segoe UI" w:eastAsia="Times New Roman" w:hAnsi="Segoe UI" w:cs="Segoe UI"/>
      <w:b/>
      <w:bCs/>
      <w:sz w:val="17"/>
      <w:szCs w:val="17"/>
      <w:lang w:eastAsia="es-CO"/>
    </w:rPr>
  </w:style>
  <w:style w:type="paragraph" w:customStyle="1" w:styleId="otrotitulo">
    <w:name w:val="otrotitulo"/>
    <w:basedOn w:val="Normal"/>
    <w:rsid w:val="00CF2C96"/>
    <w:pPr>
      <w:spacing w:after="285" w:line="240" w:lineRule="auto"/>
      <w:jc w:val="left"/>
    </w:pPr>
    <w:rPr>
      <w:rFonts w:ascii="Arial" w:eastAsia="Times New Roman" w:hAnsi="Arial" w:cs="Arial"/>
      <w:b/>
      <w:bCs/>
      <w:sz w:val="27"/>
      <w:szCs w:val="27"/>
      <w:lang w:eastAsia="es-CO"/>
    </w:rPr>
  </w:style>
  <w:style w:type="paragraph" w:customStyle="1" w:styleId="enlacesmains">
    <w:name w:val="enlacesmains"/>
    <w:basedOn w:val="Normal"/>
    <w:rsid w:val="00CF2C96"/>
    <w:pPr>
      <w:shd w:val="clear" w:color="auto" w:fill="0074B3"/>
      <w:spacing w:after="285" w:line="240" w:lineRule="auto"/>
      <w:jc w:val="left"/>
    </w:pPr>
    <w:rPr>
      <w:rFonts w:eastAsia="Times New Roman"/>
      <w:szCs w:val="24"/>
      <w:lang w:eastAsia="es-CO"/>
    </w:rPr>
  </w:style>
  <w:style w:type="paragraph" w:customStyle="1" w:styleId="t16">
    <w:name w:val="t16"/>
    <w:basedOn w:val="Normal"/>
    <w:rsid w:val="00CF2C96"/>
    <w:pPr>
      <w:spacing w:after="285" w:line="240" w:lineRule="auto"/>
      <w:jc w:val="left"/>
    </w:pPr>
    <w:rPr>
      <w:rFonts w:ascii="Segoe UI" w:eastAsia="Times New Roman" w:hAnsi="Segoe UI" w:cs="Segoe UI"/>
      <w:szCs w:val="24"/>
      <w:lang w:eastAsia="es-CO"/>
    </w:rPr>
  </w:style>
  <w:style w:type="paragraph" w:customStyle="1" w:styleId="documentoceta">
    <w:name w:val="documentoceta"/>
    <w:basedOn w:val="Normal"/>
    <w:rsid w:val="00CF2C96"/>
    <w:pPr>
      <w:spacing w:after="285" w:line="240" w:lineRule="auto"/>
    </w:pPr>
    <w:rPr>
      <w:rFonts w:ascii="Arial" w:eastAsia="Times New Roman" w:hAnsi="Arial" w:cs="Arial"/>
      <w:sz w:val="18"/>
      <w:szCs w:val="18"/>
      <w:lang w:eastAsia="es-CO"/>
    </w:rPr>
  </w:style>
  <w:style w:type="paragraph" w:customStyle="1" w:styleId="titulos2ceta">
    <w:name w:val="titulos2ceta"/>
    <w:basedOn w:val="Normal"/>
    <w:rsid w:val="00CF2C96"/>
    <w:pPr>
      <w:spacing w:after="285" w:line="240" w:lineRule="auto"/>
      <w:jc w:val="left"/>
    </w:pPr>
    <w:rPr>
      <w:rFonts w:ascii="Segoe UI" w:eastAsia="Times New Roman" w:hAnsi="Segoe UI" w:cs="Segoe UI"/>
      <w:b/>
      <w:bCs/>
      <w:sz w:val="20"/>
      <w:szCs w:val="20"/>
      <w:lang w:eastAsia="es-CO"/>
    </w:rPr>
  </w:style>
  <w:style w:type="paragraph" w:customStyle="1" w:styleId="textocetasmall">
    <w:name w:val="textocetasmall"/>
    <w:basedOn w:val="Normal"/>
    <w:rsid w:val="00CF2C96"/>
    <w:pPr>
      <w:spacing w:after="285" w:line="240" w:lineRule="auto"/>
      <w:jc w:val="left"/>
    </w:pPr>
    <w:rPr>
      <w:rFonts w:ascii="Segoe UI" w:eastAsia="Times New Roman" w:hAnsi="Segoe UI" w:cs="Segoe UI"/>
      <w:sz w:val="14"/>
      <w:szCs w:val="14"/>
      <w:lang w:eastAsia="es-CO"/>
    </w:rPr>
  </w:style>
  <w:style w:type="paragraph" w:customStyle="1" w:styleId="t10">
    <w:name w:val="t10"/>
    <w:basedOn w:val="Normal"/>
    <w:rsid w:val="00CF2C96"/>
    <w:pPr>
      <w:spacing w:after="285" w:line="240" w:lineRule="auto"/>
      <w:jc w:val="left"/>
    </w:pPr>
    <w:rPr>
      <w:rFonts w:ascii="Segoe UI" w:eastAsia="Times New Roman" w:hAnsi="Segoe UI" w:cs="Segoe UI"/>
      <w:sz w:val="15"/>
      <w:szCs w:val="15"/>
      <w:lang w:eastAsia="es-CO"/>
    </w:rPr>
  </w:style>
  <w:style w:type="paragraph" w:customStyle="1" w:styleId="t11">
    <w:name w:val="t11"/>
    <w:basedOn w:val="Normal"/>
    <w:rsid w:val="00CF2C96"/>
    <w:pPr>
      <w:spacing w:after="285" w:line="240" w:lineRule="auto"/>
      <w:jc w:val="left"/>
    </w:pPr>
    <w:rPr>
      <w:rFonts w:ascii="Segoe UI" w:eastAsia="Times New Roman" w:hAnsi="Segoe UI" w:cs="Segoe UI"/>
      <w:sz w:val="17"/>
      <w:szCs w:val="17"/>
      <w:lang w:eastAsia="es-CO"/>
    </w:rPr>
  </w:style>
  <w:style w:type="paragraph" w:customStyle="1" w:styleId="t12">
    <w:name w:val="t12"/>
    <w:basedOn w:val="Normal"/>
    <w:rsid w:val="00CF2C96"/>
    <w:pPr>
      <w:spacing w:after="285" w:line="240" w:lineRule="auto"/>
      <w:jc w:val="left"/>
    </w:pPr>
    <w:rPr>
      <w:rFonts w:ascii="Segoe UI" w:eastAsia="Times New Roman" w:hAnsi="Segoe UI" w:cs="Segoe UI"/>
      <w:sz w:val="18"/>
      <w:szCs w:val="18"/>
      <w:lang w:eastAsia="es-CO"/>
    </w:rPr>
  </w:style>
  <w:style w:type="paragraph" w:customStyle="1" w:styleId="newtitulos">
    <w:name w:val="newtitulos"/>
    <w:basedOn w:val="Normal"/>
    <w:rsid w:val="00CF2C96"/>
    <w:pPr>
      <w:spacing w:after="285" w:line="750" w:lineRule="atLeast"/>
      <w:jc w:val="left"/>
    </w:pPr>
    <w:rPr>
      <w:rFonts w:ascii="Segoe UI" w:eastAsia="Times New Roman" w:hAnsi="Segoe UI" w:cs="Segoe UI"/>
      <w:color w:val="00478E"/>
      <w:sz w:val="83"/>
      <w:szCs w:val="83"/>
      <w:lang w:eastAsia="es-CO"/>
    </w:rPr>
  </w:style>
  <w:style w:type="paragraph" w:customStyle="1" w:styleId="imagenbordenegro">
    <w:name w:val="imagenbordenegro"/>
    <w:basedOn w:val="Normal"/>
    <w:rsid w:val="00CF2C96"/>
    <w:pPr>
      <w:pBdr>
        <w:top w:val="single" w:sz="8" w:space="0" w:color="000000"/>
        <w:left w:val="single" w:sz="8" w:space="0" w:color="000000"/>
        <w:bottom w:val="single" w:sz="8" w:space="0" w:color="000000"/>
        <w:right w:val="single" w:sz="8" w:space="0" w:color="000000"/>
      </w:pBdr>
      <w:spacing w:after="285" w:line="240" w:lineRule="auto"/>
      <w:jc w:val="left"/>
    </w:pPr>
    <w:rPr>
      <w:rFonts w:eastAsia="Times New Roman"/>
      <w:szCs w:val="24"/>
      <w:lang w:eastAsia="es-CO"/>
    </w:rPr>
  </w:style>
  <w:style w:type="paragraph" w:customStyle="1" w:styleId="t13">
    <w:name w:val="t13"/>
    <w:basedOn w:val="Normal"/>
    <w:rsid w:val="00CF2C96"/>
    <w:pPr>
      <w:spacing w:after="285" w:line="240" w:lineRule="auto"/>
      <w:jc w:val="left"/>
    </w:pPr>
    <w:rPr>
      <w:rFonts w:ascii="Segoe UI" w:eastAsia="Times New Roman" w:hAnsi="Segoe UI" w:cs="Segoe UI"/>
      <w:sz w:val="20"/>
      <w:szCs w:val="20"/>
      <w:lang w:eastAsia="es-CO"/>
    </w:rPr>
  </w:style>
  <w:style w:type="paragraph" w:customStyle="1" w:styleId="t26">
    <w:name w:val="t26"/>
    <w:basedOn w:val="Normal"/>
    <w:rsid w:val="00CF2C96"/>
    <w:pPr>
      <w:spacing w:after="285" w:line="240" w:lineRule="auto"/>
      <w:jc w:val="left"/>
    </w:pPr>
    <w:rPr>
      <w:rFonts w:ascii="Segoe UI" w:eastAsia="Times New Roman" w:hAnsi="Segoe UI" w:cs="Segoe UI"/>
      <w:sz w:val="39"/>
      <w:szCs w:val="39"/>
      <w:lang w:eastAsia="es-CO"/>
    </w:rPr>
  </w:style>
  <w:style w:type="paragraph" w:customStyle="1" w:styleId="menutitulo">
    <w:name w:val="menutitulo"/>
    <w:basedOn w:val="Normal"/>
    <w:rsid w:val="00CF2C96"/>
    <w:pPr>
      <w:spacing w:after="285" w:line="240" w:lineRule="auto"/>
      <w:jc w:val="left"/>
    </w:pPr>
    <w:rPr>
      <w:rFonts w:ascii="Segoe UI" w:eastAsia="Times New Roman" w:hAnsi="Segoe UI" w:cs="Segoe UI"/>
      <w:b/>
      <w:bCs/>
      <w:color w:val="000000"/>
      <w:sz w:val="18"/>
      <w:szCs w:val="18"/>
      <w:lang w:eastAsia="es-CO"/>
    </w:rPr>
  </w:style>
  <w:style w:type="paragraph" w:customStyle="1" w:styleId="textoceta">
    <w:name w:val="textoceta"/>
    <w:basedOn w:val="Normal"/>
    <w:rsid w:val="00CF2C96"/>
    <w:pPr>
      <w:spacing w:after="285" w:line="240" w:lineRule="auto"/>
      <w:jc w:val="left"/>
    </w:pPr>
    <w:rPr>
      <w:rFonts w:ascii="Segoe UI" w:eastAsia="Times New Roman" w:hAnsi="Segoe UI" w:cs="Segoe UI"/>
      <w:sz w:val="20"/>
      <w:szCs w:val="20"/>
      <w:lang w:eastAsia="es-CO"/>
    </w:rPr>
  </w:style>
  <w:style w:type="paragraph" w:customStyle="1" w:styleId="cluetip-arrows1">
    <w:name w:val="cluetip-arrows1"/>
    <w:basedOn w:val="Normal"/>
    <w:rsid w:val="00CF2C96"/>
    <w:pPr>
      <w:spacing w:after="285" w:line="240" w:lineRule="auto"/>
      <w:jc w:val="left"/>
    </w:pPr>
    <w:rPr>
      <w:rFonts w:eastAsia="Times New Roman"/>
      <w:vanish/>
      <w:szCs w:val="24"/>
      <w:lang w:eastAsia="es-CO"/>
    </w:rPr>
  </w:style>
  <w:style w:type="paragraph" w:customStyle="1" w:styleId="cluetip-arrows2">
    <w:name w:val="cluetip-arrows2"/>
    <w:basedOn w:val="Normal"/>
    <w:rsid w:val="00CF2C96"/>
    <w:pPr>
      <w:spacing w:after="285" w:line="240" w:lineRule="auto"/>
      <w:ind w:right="-165"/>
      <w:jc w:val="left"/>
    </w:pPr>
    <w:rPr>
      <w:rFonts w:eastAsia="Times New Roman"/>
      <w:vanish/>
      <w:szCs w:val="24"/>
      <w:lang w:eastAsia="es-CO"/>
    </w:rPr>
  </w:style>
  <w:style w:type="paragraph" w:customStyle="1" w:styleId="cluetip-arrows3">
    <w:name w:val="cluetip-arrows3"/>
    <w:basedOn w:val="Normal"/>
    <w:rsid w:val="00CF2C96"/>
    <w:pPr>
      <w:spacing w:after="285" w:line="240" w:lineRule="auto"/>
      <w:ind w:left="-165"/>
      <w:jc w:val="left"/>
    </w:pPr>
    <w:rPr>
      <w:rFonts w:eastAsia="Times New Roman"/>
      <w:vanish/>
      <w:szCs w:val="24"/>
      <w:lang w:eastAsia="es-CO"/>
    </w:rPr>
  </w:style>
  <w:style w:type="paragraph" w:customStyle="1" w:styleId="cluetip-arrows4">
    <w:name w:val="cluetip-arrows4"/>
    <w:basedOn w:val="Normal"/>
    <w:rsid w:val="00CF2C96"/>
    <w:pPr>
      <w:spacing w:after="285" w:line="240" w:lineRule="auto"/>
      <w:ind w:left="-165"/>
      <w:jc w:val="left"/>
    </w:pPr>
    <w:rPr>
      <w:rFonts w:eastAsia="Times New Roman"/>
      <w:vanish/>
      <w:szCs w:val="24"/>
      <w:lang w:eastAsia="es-CO"/>
    </w:rPr>
  </w:style>
  <w:style w:type="paragraph" w:customStyle="1" w:styleId="cluetip-arrows5">
    <w:name w:val="cluetip-arrows5"/>
    <w:basedOn w:val="Normal"/>
    <w:rsid w:val="00CF2C96"/>
    <w:pPr>
      <w:spacing w:after="285" w:line="240" w:lineRule="auto"/>
      <w:jc w:val="left"/>
    </w:pPr>
    <w:rPr>
      <w:rFonts w:eastAsia="Times New Roman"/>
      <w:vanish/>
      <w:szCs w:val="24"/>
      <w:lang w:eastAsia="es-CO"/>
    </w:rPr>
  </w:style>
  <w:style w:type="paragraph" w:customStyle="1" w:styleId="cluetip-arrows6">
    <w:name w:val="cluetip-arrows6"/>
    <w:basedOn w:val="Normal"/>
    <w:rsid w:val="00CF2C96"/>
    <w:pPr>
      <w:spacing w:after="285" w:line="240" w:lineRule="auto"/>
      <w:ind w:right="-165"/>
      <w:jc w:val="left"/>
    </w:pPr>
    <w:rPr>
      <w:rFonts w:eastAsia="Times New Roman"/>
      <w:vanish/>
      <w:szCs w:val="24"/>
      <w:lang w:eastAsia="es-CO"/>
    </w:rPr>
  </w:style>
  <w:style w:type="paragraph" w:customStyle="1" w:styleId="cluetip-arrows7">
    <w:name w:val="cluetip-arrows7"/>
    <w:basedOn w:val="Normal"/>
    <w:rsid w:val="00CF2C96"/>
    <w:pPr>
      <w:spacing w:after="285" w:line="240" w:lineRule="auto"/>
      <w:ind w:left="-165"/>
      <w:jc w:val="left"/>
    </w:pPr>
    <w:rPr>
      <w:rFonts w:eastAsia="Times New Roman"/>
      <w:vanish/>
      <w:szCs w:val="24"/>
      <w:lang w:eastAsia="es-CO"/>
    </w:rPr>
  </w:style>
  <w:style w:type="paragraph" w:customStyle="1" w:styleId="cluetip-arrows8">
    <w:name w:val="cluetip-arrows8"/>
    <w:basedOn w:val="Normal"/>
    <w:rsid w:val="00CF2C96"/>
    <w:pPr>
      <w:spacing w:after="285" w:line="240" w:lineRule="auto"/>
      <w:ind w:left="-165"/>
      <w:jc w:val="left"/>
    </w:pPr>
    <w:rPr>
      <w:rFonts w:eastAsia="Times New Roman"/>
      <w:vanish/>
      <w:szCs w:val="24"/>
      <w:lang w:eastAsia="es-CO"/>
    </w:rPr>
  </w:style>
  <w:style w:type="paragraph" w:customStyle="1" w:styleId="cluetip-arrows9">
    <w:name w:val="cluetip-arrows9"/>
    <w:basedOn w:val="Normal"/>
    <w:rsid w:val="00CF2C96"/>
    <w:pPr>
      <w:spacing w:after="285" w:line="240" w:lineRule="auto"/>
      <w:jc w:val="left"/>
    </w:pPr>
    <w:rPr>
      <w:rFonts w:eastAsia="Times New Roman"/>
      <w:vanish/>
      <w:szCs w:val="24"/>
      <w:lang w:eastAsia="es-CO"/>
    </w:rPr>
  </w:style>
  <w:style w:type="paragraph" w:customStyle="1" w:styleId="cluetip-arrows10">
    <w:name w:val="cluetip-arrows10"/>
    <w:basedOn w:val="Normal"/>
    <w:rsid w:val="00CF2C96"/>
    <w:pPr>
      <w:spacing w:after="285" w:line="240" w:lineRule="auto"/>
      <w:ind w:left="180"/>
      <w:jc w:val="left"/>
    </w:pPr>
    <w:rPr>
      <w:rFonts w:eastAsia="Times New Roman"/>
      <w:vanish/>
      <w:szCs w:val="24"/>
      <w:lang w:eastAsia="es-CO"/>
    </w:rPr>
  </w:style>
  <w:style w:type="paragraph" w:customStyle="1" w:styleId="cluetip-arrows11">
    <w:name w:val="cluetip-arrows11"/>
    <w:basedOn w:val="Normal"/>
    <w:rsid w:val="00CF2C96"/>
    <w:pPr>
      <w:spacing w:after="285" w:line="240" w:lineRule="auto"/>
      <w:ind w:left="-165"/>
      <w:jc w:val="left"/>
    </w:pPr>
    <w:rPr>
      <w:rFonts w:eastAsia="Times New Roman"/>
      <w:vanish/>
      <w:szCs w:val="24"/>
      <w:lang w:eastAsia="es-CO"/>
    </w:rPr>
  </w:style>
  <w:style w:type="paragraph" w:customStyle="1" w:styleId="cluetip-arrows12">
    <w:name w:val="cluetip-arrows12"/>
    <w:basedOn w:val="Normal"/>
    <w:rsid w:val="00CF2C96"/>
    <w:pPr>
      <w:spacing w:after="285" w:line="240" w:lineRule="auto"/>
      <w:ind w:left="-165"/>
      <w:jc w:val="left"/>
    </w:pPr>
    <w:rPr>
      <w:rFonts w:eastAsia="Times New Roman"/>
      <w:vanish/>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10881" TargetMode="External"/><Relationship Id="rId21" Type="http://schemas.openxmlformats.org/officeDocument/2006/relationships/hyperlink" Target="http://www.ceta.org.co/html/vista_de_un_articulo.asp?Norma=10888" TargetMode="External"/><Relationship Id="rId42" Type="http://schemas.openxmlformats.org/officeDocument/2006/relationships/hyperlink" Target="http://www.ceta.org.co/html/vista_de_un_articulo.asp?Norma=10886" TargetMode="External"/><Relationship Id="rId47" Type="http://schemas.openxmlformats.org/officeDocument/2006/relationships/hyperlink" Target="http://www.ceta.org.co/html/vista_de_un_articulo.asp?Norma=10881" TargetMode="External"/><Relationship Id="rId63" Type="http://schemas.openxmlformats.org/officeDocument/2006/relationships/hyperlink" Target="http://www.ceta.org.co/html/vista_de_un_articulo.asp?Norma=10882" TargetMode="External"/><Relationship Id="rId68" Type="http://schemas.openxmlformats.org/officeDocument/2006/relationships/hyperlink" Target="http://www.ceta.org.co/html/vista_de_un_articulo.asp?Norma=707" TargetMode="External"/><Relationship Id="rId84" Type="http://schemas.openxmlformats.org/officeDocument/2006/relationships/hyperlink" Target="http://www.ceta.org.co/html/vista_de_un_articulo.asp?Norma=10890" TargetMode="External"/><Relationship Id="rId89" Type="http://schemas.openxmlformats.org/officeDocument/2006/relationships/theme" Target="theme/theme1.xml"/><Relationship Id="rId16" Type="http://schemas.openxmlformats.org/officeDocument/2006/relationships/hyperlink" Target="http://www.ceta.org.co/html/vista_de_un_articulo.asp?Norma=10881" TargetMode="External"/><Relationship Id="rId11" Type="http://schemas.openxmlformats.org/officeDocument/2006/relationships/hyperlink" Target="http://www.ceta.org.co/html/vista_de_un_articulo.asp?Norma=10888" TargetMode="External"/><Relationship Id="rId32" Type="http://schemas.openxmlformats.org/officeDocument/2006/relationships/hyperlink" Target="http://www.ceta.org.co/html/vista_de_un_articulo.asp?Norma=10888" TargetMode="External"/><Relationship Id="rId37" Type="http://schemas.openxmlformats.org/officeDocument/2006/relationships/hyperlink" Target="http://www.ceta.org.co/html/vista_de_un_articulo.asp?Norma=10880" TargetMode="External"/><Relationship Id="rId53" Type="http://schemas.openxmlformats.org/officeDocument/2006/relationships/hyperlink" Target="http://www.ceta.org.co/html/vista_de_un_articulo.asp?Norma=29939" TargetMode="External"/><Relationship Id="rId58" Type="http://schemas.openxmlformats.org/officeDocument/2006/relationships/hyperlink" Target="http://www.ceta.org.co/html/vista_de_un_articulo.asp?Norma=10883" TargetMode="External"/><Relationship Id="rId74" Type="http://schemas.openxmlformats.org/officeDocument/2006/relationships/hyperlink" Target="http://www.ceta.org.co/html/vista_de_un_articulo.asp?Norma=10884" TargetMode="External"/><Relationship Id="rId79" Type="http://schemas.openxmlformats.org/officeDocument/2006/relationships/hyperlink" Target="http://www.ceta.org.co/html/vista_de_un_articulo.asp?Norma=10890" TargetMode="External"/><Relationship Id="rId5" Type="http://schemas.openxmlformats.org/officeDocument/2006/relationships/hyperlink" Target="http://www.ceta.org.co/html/vista_de_un_articulo.asp?Norma=10880" TargetMode="External"/><Relationship Id="rId14" Type="http://schemas.openxmlformats.org/officeDocument/2006/relationships/hyperlink" Target="http://www.ceta.org.co/html/vista_de_un_articulo.asp?Norma=29944" TargetMode="External"/><Relationship Id="rId22" Type="http://schemas.openxmlformats.org/officeDocument/2006/relationships/hyperlink" Target="http://www.ceta.org.co/html/vista_de_un_articulo.asp?Norma=10889" TargetMode="External"/><Relationship Id="rId27" Type="http://schemas.openxmlformats.org/officeDocument/2006/relationships/hyperlink" Target="http://www.ceta.org.co/html/vista_de_un_articulo.asp?Norma=10882" TargetMode="External"/><Relationship Id="rId30" Type="http://schemas.openxmlformats.org/officeDocument/2006/relationships/hyperlink" Target="http://www.ceta.org.co/html/vista_de_un_articulo.asp?Norma=10884" TargetMode="External"/><Relationship Id="rId35" Type="http://schemas.openxmlformats.org/officeDocument/2006/relationships/hyperlink" Target="http://www.ceta.org.co/html/vista_de_un_articulo.asp?Norma=29944" TargetMode="External"/><Relationship Id="rId43" Type="http://schemas.openxmlformats.org/officeDocument/2006/relationships/hyperlink" Target="http://www.ceta.org.co/html/vista_de_un_articulo.asp?Norma=29937" TargetMode="External"/><Relationship Id="rId48" Type="http://schemas.openxmlformats.org/officeDocument/2006/relationships/hyperlink" Target="http://www.ceta.org.co/html/vista_de_un_articulo.asp?Norma=29937" TargetMode="External"/><Relationship Id="rId56" Type="http://schemas.openxmlformats.org/officeDocument/2006/relationships/hyperlink" Target="http://www.ceta.org.co/html/vista_de_un_articulo.asp?Norma=10883" TargetMode="External"/><Relationship Id="rId64" Type="http://schemas.openxmlformats.org/officeDocument/2006/relationships/hyperlink" Target="http://www.ceta.org.co/html/vista_de_un_articulo.asp?Norma=10882" TargetMode="External"/><Relationship Id="rId69" Type="http://schemas.openxmlformats.org/officeDocument/2006/relationships/hyperlink" Target="http://www.ceta.org.co/html/vista_de_un_articulo.asp?Norma=711" TargetMode="External"/><Relationship Id="rId77" Type="http://schemas.openxmlformats.org/officeDocument/2006/relationships/hyperlink" Target="http://www.ceta.org.co/html/vista_de_un_articulo.asp?Norma=10889" TargetMode="External"/><Relationship Id="rId8" Type="http://schemas.openxmlformats.org/officeDocument/2006/relationships/hyperlink" Target="http://www.ceta.org.co/html/vista_de_un_articulo.asp?Norma=10883" TargetMode="External"/><Relationship Id="rId51" Type="http://schemas.openxmlformats.org/officeDocument/2006/relationships/hyperlink" Target="http://www.ceta.org.co/html/vista_de_un_articulo.asp?Norma=10881" TargetMode="External"/><Relationship Id="rId72" Type="http://schemas.openxmlformats.org/officeDocument/2006/relationships/hyperlink" Target="http://www.ceta.org.co/html/vista_de_un_articulo.asp?Norma=10889" TargetMode="External"/><Relationship Id="rId80" Type="http://schemas.openxmlformats.org/officeDocument/2006/relationships/hyperlink" Target="http://www.ceta.org.co/html/vista_de_un_articulo.asp?Norma=10884" TargetMode="External"/><Relationship Id="rId85" Type="http://schemas.openxmlformats.org/officeDocument/2006/relationships/hyperlink" Target="http://www.ceta.org.co/html/vista_de_un_articulo.asp?Norma=10890" TargetMode="External"/><Relationship Id="rId3" Type="http://schemas.openxmlformats.org/officeDocument/2006/relationships/settings" Target="settings.xml"/><Relationship Id="rId12" Type="http://schemas.openxmlformats.org/officeDocument/2006/relationships/hyperlink" Target="http://www.ceta.org.co/html/vista_de_un_articulo.asp?Norma=10889" TargetMode="External"/><Relationship Id="rId17" Type="http://schemas.openxmlformats.org/officeDocument/2006/relationships/hyperlink" Target="http://www.ceta.org.co/html/vista_de_un_articulo.asp?Norma=10882" TargetMode="External"/><Relationship Id="rId25" Type="http://schemas.openxmlformats.org/officeDocument/2006/relationships/hyperlink" Target="http://www.ceta.org.co/html/vista_de_un_articulo.asp?Norma=10880" TargetMode="External"/><Relationship Id="rId33" Type="http://schemas.openxmlformats.org/officeDocument/2006/relationships/hyperlink" Target="http://www.ceta.org.co/html/vista_de_un_articulo.asp?Norma=10889" TargetMode="External"/><Relationship Id="rId38" Type="http://schemas.openxmlformats.org/officeDocument/2006/relationships/hyperlink" Target="http://www.ceta.org.co/html/vista_de_un_articulo.asp?Norma=10880" TargetMode="External"/><Relationship Id="rId46" Type="http://schemas.openxmlformats.org/officeDocument/2006/relationships/hyperlink" Target="http://www.ceta.org.co/html/vista_de_un_articulo.asp?Norma=29937" TargetMode="External"/><Relationship Id="rId59" Type="http://schemas.openxmlformats.org/officeDocument/2006/relationships/hyperlink" Target="http://www.ceta.org.co/html/vista_de_un_articulo.asp?Norma=10886" TargetMode="External"/><Relationship Id="rId67" Type="http://schemas.openxmlformats.org/officeDocument/2006/relationships/hyperlink" Target="http://www.ceta.org.co/html/vista_de_un_articulo.asp?Norma=706" TargetMode="External"/><Relationship Id="rId20" Type="http://schemas.openxmlformats.org/officeDocument/2006/relationships/hyperlink" Target="http://www.ceta.org.co/html/vista_de_un_articulo.asp?Norma=10886" TargetMode="External"/><Relationship Id="rId41" Type="http://schemas.openxmlformats.org/officeDocument/2006/relationships/hyperlink" Target="http://www.ceta.org.co/html/vista_de_un_articulo.asp?Norma=10888" TargetMode="External"/><Relationship Id="rId54" Type="http://schemas.openxmlformats.org/officeDocument/2006/relationships/hyperlink" Target="http://www.ceta.org.co/html/vista_de_un_articulo.asp?Norma=10883" TargetMode="External"/><Relationship Id="rId62" Type="http://schemas.openxmlformats.org/officeDocument/2006/relationships/hyperlink" Target="http://www.ceta.org.co/html/vista_de_un_articulo.asp?Norma=10882" TargetMode="External"/><Relationship Id="rId70" Type="http://schemas.openxmlformats.org/officeDocument/2006/relationships/hyperlink" Target="http://www.ceta.org.co/html/vista_de_un_articulo.asp?Norma=10888" TargetMode="External"/><Relationship Id="rId75" Type="http://schemas.openxmlformats.org/officeDocument/2006/relationships/hyperlink" Target="http://www.ceta.org.co/html/vista_de_un_articulo.asp?Norma=10890" TargetMode="External"/><Relationship Id="rId83" Type="http://schemas.openxmlformats.org/officeDocument/2006/relationships/hyperlink" Target="http://www.ceta.org.co/html/vista_de_un_articulo.asp?Norma=10890"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10881" TargetMode="External"/><Relationship Id="rId15" Type="http://schemas.openxmlformats.org/officeDocument/2006/relationships/hyperlink" Target="http://www.ceta.org.co/html/vista_de_un_articulo.asp?Norma=10880" TargetMode="External"/><Relationship Id="rId23" Type="http://schemas.openxmlformats.org/officeDocument/2006/relationships/hyperlink" Target="http://www.ceta.org.co/html/vista_de_un_articulo.asp?Norma=10890" TargetMode="External"/><Relationship Id="rId28" Type="http://schemas.openxmlformats.org/officeDocument/2006/relationships/hyperlink" Target="http://www.ceta.org.co/html/vista_de_un_articulo.asp?Norma=10882" TargetMode="External"/><Relationship Id="rId36" Type="http://schemas.openxmlformats.org/officeDocument/2006/relationships/hyperlink" Target="http://www.ceta.org.co/html/vista_de_un_articulo.asp?Norma=10880" TargetMode="External"/><Relationship Id="rId49" Type="http://schemas.openxmlformats.org/officeDocument/2006/relationships/hyperlink" Target="http://www.ceta.org.co/html/vista_de_un_articulo.asp?Norma=10881" TargetMode="External"/><Relationship Id="rId57" Type="http://schemas.openxmlformats.org/officeDocument/2006/relationships/hyperlink" Target="http://www.ceta.org.co/html/vista_de_un_articulo.asp?Norma=10882" TargetMode="External"/><Relationship Id="rId10" Type="http://schemas.openxmlformats.org/officeDocument/2006/relationships/hyperlink" Target="http://www.ceta.org.co/html/vista_de_un_articulo.asp?Norma=10886" TargetMode="External"/><Relationship Id="rId31" Type="http://schemas.openxmlformats.org/officeDocument/2006/relationships/hyperlink" Target="http://www.ceta.org.co/html/vista_de_un_articulo.asp?Norma=10886" TargetMode="External"/><Relationship Id="rId44" Type="http://schemas.openxmlformats.org/officeDocument/2006/relationships/hyperlink" Target="http://www.ceta.org.co/html/vista_de_un_articulo.asp?Norma=29937" TargetMode="External"/><Relationship Id="rId52" Type="http://schemas.openxmlformats.org/officeDocument/2006/relationships/hyperlink" Target="http://www.ceta.org.co/html/vista_de_un_articulo.asp?Norma=10883" TargetMode="External"/><Relationship Id="rId60" Type="http://schemas.openxmlformats.org/officeDocument/2006/relationships/hyperlink" Target="http://www.ceta.org.co/html/vista_de_un_articulo.asp?Norma=10880" TargetMode="External"/><Relationship Id="rId65" Type="http://schemas.openxmlformats.org/officeDocument/2006/relationships/hyperlink" Target="http://www.ceta.org.co/html/vista_de_un_articulo.asp?Norma=10882" TargetMode="External"/><Relationship Id="rId73" Type="http://schemas.openxmlformats.org/officeDocument/2006/relationships/hyperlink" Target="http://www.ceta.org.co/html/vista_de_un_articulo.asp?Norma=10889" TargetMode="External"/><Relationship Id="rId78" Type="http://schemas.openxmlformats.org/officeDocument/2006/relationships/hyperlink" Target="http://www.ceta.org.co/html/vista_de_un_articulo.asp?Norma=10888" TargetMode="External"/><Relationship Id="rId81" Type="http://schemas.openxmlformats.org/officeDocument/2006/relationships/hyperlink" Target="http://www.ceta.org.co/html/vista_de_un_articulo.asp?Norma=10890" TargetMode="External"/><Relationship Id="rId86" Type="http://schemas.openxmlformats.org/officeDocument/2006/relationships/hyperlink" Target="http://www.ceta.org.co/html/vista_de_un_articulo.asp?Norma=1089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0884" TargetMode="External"/><Relationship Id="rId13" Type="http://schemas.openxmlformats.org/officeDocument/2006/relationships/hyperlink" Target="http://www.ceta.org.co/html/vista_de_un_articulo.asp?Norma=10890" TargetMode="External"/><Relationship Id="rId18" Type="http://schemas.openxmlformats.org/officeDocument/2006/relationships/hyperlink" Target="http://www.ceta.org.co/html/vista_de_un_articulo.asp?Norma=10883" TargetMode="External"/><Relationship Id="rId39" Type="http://schemas.openxmlformats.org/officeDocument/2006/relationships/hyperlink" Target="http://www.ceta.org.co/html/vista_de_un_articulo.asp?Norma=10880" TargetMode="External"/><Relationship Id="rId34" Type="http://schemas.openxmlformats.org/officeDocument/2006/relationships/hyperlink" Target="http://www.ceta.org.co/html/vista_de_un_articulo.asp?Norma=10890" TargetMode="External"/><Relationship Id="rId50" Type="http://schemas.openxmlformats.org/officeDocument/2006/relationships/hyperlink" Target="http://www.ceta.org.co/html/vista_de_un_articulo.asp?Norma=29937" TargetMode="External"/><Relationship Id="rId55" Type="http://schemas.openxmlformats.org/officeDocument/2006/relationships/hyperlink" Target="http://www.ceta.org.co/html/vista_de_un_articulo.asp?Norma=10884" TargetMode="External"/><Relationship Id="rId76" Type="http://schemas.openxmlformats.org/officeDocument/2006/relationships/hyperlink" Target="http://www.ceta.org.co/html/vista_de_un_articulo.asp?Norma=10889" TargetMode="External"/><Relationship Id="rId7" Type="http://schemas.openxmlformats.org/officeDocument/2006/relationships/hyperlink" Target="http://www.ceta.org.co/html/vista_de_un_articulo.asp?Norma=10882" TargetMode="External"/><Relationship Id="rId71" Type="http://schemas.openxmlformats.org/officeDocument/2006/relationships/hyperlink" Target="http://www.ceta.org.co/html/vista_de_un_articulo.asp?Norma=10889" TargetMode="External"/><Relationship Id="rId2" Type="http://schemas.microsoft.com/office/2007/relationships/stylesWithEffects" Target="stylesWithEffects.xml"/><Relationship Id="rId29" Type="http://schemas.openxmlformats.org/officeDocument/2006/relationships/hyperlink" Target="http://www.ceta.org.co/html/vista_de_un_articulo.asp?Norma=10883" TargetMode="External"/><Relationship Id="rId24" Type="http://schemas.openxmlformats.org/officeDocument/2006/relationships/hyperlink" Target="http://www.ceta.org.co/html/vista_de_un_articulo.asp?Norma=29944" TargetMode="External"/><Relationship Id="rId40" Type="http://schemas.openxmlformats.org/officeDocument/2006/relationships/hyperlink" Target="http://www.ceta.org.co/html/vista_de_un_articulo.asp?Norma=10884" TargetMode="External"/><Relationship Id="rId45" Type="http://schemas.openxmlformats.org/officeDocument/2006/relationships/hyperlink" Target="http://www.ceta.org.co/html/vista_de_un_articulo.asp?Norma=29937" TargetMode="External"/><Relationship Id="rId66" Type="http://schemas.openxmlformats.org/officeDocument/2006/relationships/hyperlink" Target="http://www.ceta.org.co/html/vista_de_un_articulo.asp?Norma=10888" TargetMode="External"/><Relationship Id="rId87" Type="http://schemas.openxmlformats.org/officeDocument/2006/relationships/hyperlink" Target="http://www.ceta.org.co/html/vista_de_un_articulo.asp?Norma=10890" TargetMode="External"/><Relationship Id="rId61" Type="http://schemas.openxmlformats.org/officeDocument/2006/relationships/hyperlink" Target="http://www.ceta.org.co/html/vista_de_un_articulo.asp?Norma=10884" TargetMode="External"/><Relationship Id="rId82" Type="http://schemas.openxmlformats.org/officeDocument/2006/relationships/hyperlink" Target="http://www.ceta.org.co/html/vista_de_un_articulo.asp?Norma=10890" TargetMode="External"/><Relationship Id="rId19" Type="http://schemas.openxmlformats.org/officeDocument/2006/relationships/hyperlink" Target="http://www.ceta.org.co/html/vista_de_un_articulo.asp?Norma=108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15380</Words>
  <Characters>84590</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2014-01-04T21:54:00Z</dcterms:created>
  <dcterms:modified xsi:type="dcterms:W3CDTF">2014-01-04T21:56:00Z</dcterms:modified>
</cp:coreProperties>
</file>